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hint="eastAsia" w:eastAsia="宋体"/>
          <w:color w:val="000000"/>
          <w:sz w:val="96"/>
          <w:szCs w:val="96"/>
          <w:lang w:val="en-US" w:eastAsia="zh-CN"/>
        </w:rPr>
      </w:pPr>
      <w:r>
        <w:rPr>
          <w:sz w:val="84"/>
          <w:szCs w:val="84"/>
        </w:rPr>
        <w:t>2018</w:t>
      </w:r>
      <w:r>
        <w:rPr>
          <w:rFonts w:hint="eastAsia"/>
          <w:sz w:val="84"/>
          <w:szCs w:val="84"/>
        </w:rPr>
        <w:t>年度部门决算</w:t>
      </w:r>
      <w:r>
        <w:rPr>
          <w:rFonts w:hint="eastAsia"/>
          <w:sz w:val="84"/>
          <w:szCs w:val="84"/>
          <w:lang w:eastAsia="zh-CN"/>
        </w:rPr>
        <w:t>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both"/>
        <w:rPr>
          <w:rFonts w:hint="eastAsia"/>
          <w:b/>
          <w:sz w:val="44"/>
          <w:szCs w:val="44"/>
        </w:rPr>
      </w:pPr>
    </w:p>
    <w:p>
      <w:pPr>
        <w:widowControl/>
        <w:jc w:val="center"/>
        <w:rPr>
          <w:rFonts w:hint="eastAsia" w:ascii="楷体" w:hAnsi="楷体" w:eastAsia="宋体" w:cs="楷体"/>
          <w:b/>
          <w:sz w:val="44"/>
          <w:szCs w:val="44"/>
          <w:lang w:val="en-US" w:eastAsia="zh-CN"/>
        </w:rPr>
        <w:sectPr>
          <w:pgSz w:w="11906" w:h="16838"/>
          <w:pgMar w:top="2098" w:right="1474" w:bottom="1985" w:left="1588" w:header="851" w:footer="992" w:gutter="0"/>
          <w:cols w:space="425" w:num="1"/>
          <w:docGrid w:type="lines" w:linePitch="312" w:charSpace="0"/>
        </w:sectPr>
      </w:pPr>
      <w:r>
        <w:rPr>
          <w:rFonts w:hint="eastAsia"/>
          <w:b/>
          <w:sz w:val="44"/>
          <w:szCs w:val="44"/>
        </w:rPr>
        <w:t>香河县</w:t>
      </w:r>
      <w:r>
        <w:rPr>
          <w:rFonts w:hint="eastAsia"/>
          <w:b/>
          <w:sz w:val="44"/>
          <w:szCs w:val="44"/>
          <w:lang w:eastAsia="zh-CN"/>
        </w:rPr>
        <w:t>科学技术协会</w:t>
      </w:r>
      <w:r>
        <w:rPr>
          <w:rFonts w:hint="eastAsia"/>
          <w:b/>
          <w:sz w:val="44"/>
          <w:szCs w:val="44"/>
        </w:rPr>
        <w:t>部</w:t>
      </w:r>
      <w:r>
        <w:rPr>
          <w:rFonts w:hint="eastAsia"/>
          <w:b/>
          <w:sz w:val="44"/>
          <w:szCs w:val="44"/>
          <w:lang w:eastAsia="zh-CN"/>
        </w:rPr>
        <w:t>门</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bookmarkStart w:id="0" w:name="_GoBack"/>
      <w:bookmarkEnd w:id="0"/>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jc w:val="center"/>
        <w:rPr>
          <w:color w:val="000000"/>
          <w:sz w:val="96"/>
          <w:szCs w:val="96"/>
        </w:rPr>
      </w:pPr>
      <w:r>
        <w:br w:type="page"/>
      </w: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Pr>
        <w:pStyle w:val="2"/>
        <w:spacing w:before="0" w:after="0" w:line="600" w:lineRule="exact"/>
        <w:ind w:firstLine="320" w:firstLineChars="100"/>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after="40" w:line="24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1、贯彻执行上级党委的路线、方针、政策。</w:t>
      </w:r>
    </w:p>
    <w:p>
      <w:pPr>
        <w:keepNext w:val="0"/>
        <w:keepLines w:val="0"/>
        <w:pageBreakBefore w:val="0"/>
        <w:widowControl w:val="0"/>
        <w:kinsoku/>
        <w:wordWrap/>
        <w:overflowPunct/>
        <w:topLinePunct w:val="0"/>
        <w:autoSpaceDE/>
        <w:autoSpaceDN/>
        <w:bidi w:val="0"/>
        <w:adjustRightInd/>
        <w:snapToGrid/>
        <w:spacing w:after="40" w:line="240"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2、加强科普组织网络和科普队伍建设，发挥科普工作主力军作用，普及科学知识，传播科学思想和科学方法，推广先进实用技术，提高全县人民科学文化素质。</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3、组织科技工作者围绕全县科技、经济和社会发展中的重要问题开展科学认证，咨询服务，提出意见和建议。</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 xml:space="preserve"> 4、开展学术活动，活跃学术思想，促进科学技术的繁荣和发展。</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5、广泛开展青少年科技教育活动，培养具有创新能力的科技后备人才。</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6、开展先进实用技术培训，办好农村致富技术函授大学。</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7、表彰奖励优秀科技工作者，向有关部门举荐人才。</w:t>
      </w:r>
    </w:p>
    <w:p>
      <w:pPr>
        <w:keepNext w:val="0"/>
        <w:keepLines w:val="0"/>
        <w:pageBreakBefore w:val="0"/>
        <w:widowControl w:val="0"/>
        <w:kinsoku/>
        <w:wordWrap/>
        <w:overflowPunct/>
        <w:topLinePunct w:val="0"/>
        <w:autoSpaceDE/>
        <w:autoSpaceDN/>
        <w:bidi w:val="0"/>
        <w:adjustRightInd/>
        <w:snapToGrid/>
        <w:spacing w:after="40" w:line="240" w:lineRule="atLeast"/>
        <w:textAlignment w:val="auto"/>
        <w:rPr>
          <w:rFonts w:hint="eastAsia" w:ascii="仿宋" w:hAnsi="仿宋" w:eastAsia="仿宋" w:cs="仿宋"/>
          <w:sz w:val="32"/>
          <w:szCs w:val="32"/>
        </w:rPr>
      </w:pPr>
      <w:r>
        <w:rPr>
          <w:rFonts w:hint="eastAsia" w:ascii="仿宋" w:hAnsi="仿宋" w:eastAsia="仿宋" w:cs="仿宋"/>
          <w:sz w:val="32"/>
          <w:szCs w:val="32"/>
        </w:rPr>
        <w:t xml:space="preserve">    8、发挥党和政府联系科技工作者的桥梁、纽带作用，反映科技工作者的呼声、要求和建议，维护科技工作者的合法权益，建设好科技工作者之家，全心全意为科技工作者服务。</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hint="eastAsia" w:ascii="仿宋_GB2312" w:hAnsi="Cambria" w:eastAsia="仿宋_GB2312" w:cs="ArialUnicodeMS"/>
          <w:kern w:val="0"/>
          <w:sz w:val="32"/>
          <w:szCs w:val="32"/>
          <w:lang w:val="en-US" w:eastAsia="zh-CN"/>
        </w:rPr>
        <w:t>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610"/>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860"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610"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0"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610"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lang w:eastAsia="zh-CN"/>
              </w:rPr>
              <w:t>香河县科学技术协会</w:t>
            </w:r>
            <w:r>
              <w:rPr>
                <w:rFonts w:ascii="仿宋_GB2312" w:hAnsi="Cambria" w:eastAsia="仿宋_GB2312" w:cs="ArialUnicodeMS"/>
                <w:kern w:val="0"/>
                <w:sz w:val="28"/>
                <w:szCs w:val="28"/>
              </w:rPr>
              <w:t>(</w:t>
            </w:r>
            <w:r>
              <w:rPr>
                <w:rFonts w:hint="eastAsia" w:ascii="仿宋_GB2312" w:hAnsi="Cambria" w:eastAsia="仿宋_GB2312" w:cs="ArialUnicodeMS"/>
                <w:kern w:val="0"/>
                <w:sz w:val="28"/>
                <w:szCs w:val="28"/>
              </w:rPr>
              <w:t>本级</w:t>
            </w:r>
            <w:r>
              <w:rPr>
                <w:rFonts w:ascii="仿宋_GB2312" w:hAnsi="Cambria" w:eastAsia="仿宋_GB2312" w:cs="ArialUnicodeMS"/>
                <w:kern w:val="0"/>
                <w:sz w:val="28"/>
                <w:szCs w:val="28"/>
              </w:rPr>
              <w:t>)</w:t>
            </w:r>
          </w:p>
        </w:tc>
        <w:tc>
          <w:tcPr>
            <w:tcW w:w="2445" w:type="dxa"/>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参公事业单位</w:t>
            </w:r>
          </w:p>
        </w:tc>
        <w:tc>
          <w:tcPr>
            <w:tcW w:w="2665" w:type="dxa"/>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0"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2</w:t>
            </w:r>
          </w:p>
        </w:tc>
        <w:tc>
          <w:tcPr>
            <w:tcW w:w="3610"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0"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3</w:t>
            </w:r>
          </w:p>
        </w:tc>
        <w:tc>
          <w:tcPr>
            <w:tcW w:w="3610" w:type="dxa"/>
          </w:tcPr>
          <w:p>
            <w:pPr>
              <w:spacing w:after="0" w:line="560" w:lineRule="exact"/>
              <w:rPr>
                <w:rFonts w:ascii="仿宋_GB2312" w:hAnsi="Cambria" w:eastAsia="仿宋_GB2312" w:cs="ArialUnicodeMS"/>
                <w:kern w:val="0"/>
                <w:sz w:val="28"/>
                <w:szCs w:val="28"/>
              </w:rPr>
            </w:pPr>
          </w:p>
        </w:tc>
        <w:tc>
          <w:tcPr>
            <w:tcW w:w="2445" w:type="dxa"/>
          </w:tcPr>
          <w:p>
            <w:pPr>
              <w:spacing w:after="0" w:line="560" w:lineRule="exact"/>
              <w:jc w:val="center"/>
              <w:rPr>
                <w:rFonts w:ascii="仿宋_GB2312" w:hAnsi="Cambria" w:eastAsia="仿宋_GB2312" w:cs="ArialUnicodeMS"/>
                <w:kern w:val="0"/>
                <w:sz w:val="28"/>
                <w:szCs w:val="28"/>
              </w:rPr>
            </w:pPr>
          </w:p>
        </w:tc>
        <w:tc>
          <w:tcPr>
            <w:tcW w:w="2665" w:type="dxa"/>
          </w:tcPr>
          <w:p>
            <w:pPr>
              <w:spacing w:after="0" w:line="560" w:lineRule="exact"/>
              <w:jc w:val="center"/>
              <w:rPr>
                <w:rFonts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tabs>
          <w:tab w:val="left" w:pos="1086"/>
        </w:tabs>
        <w:jc w:val="left"/>
        <w:rPr>
          <w:rFonts w:hint="default" w:ascii="Arial" w:hAnsi="Arial"/>
          <w:color w:val="000000"/>
          <w:sz w:val="20"/>
        </w:rPr>
      </w:pPr>
      <w:r>
        <w:rPr>
          <w:rFonts w:hint="default" w:ascii="Arial" w:hAnsi="Arial"/>
          <w:color w:val="000000"/>
          <w:sz w:val="20"/>
        </w:rPr>
        <w:tab/>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7"/>
        <w:gridCol w:w="13"/>
        <w:gridCol w:w="799"/>
        <w:gridCol w:w="436"/>
        <w:gridCol w:w="1352"/>
        <w:gridCol w:w="877"/>
        <w:gridCol w:w="13"/>
        <w:gridCol w:w="1001"/>
        <w:gridCol w:w="1904"/>
        <w:gridCol w:w="791"/>
        <w:gridCol w:w="620"/>
        <w:gridCol w:w="441"/>
        <w:gridCol w:w="472"/>
        <w:gridCol w:w="1430"/>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5"/>
            <w:tcBorders>
              <w:top w:val="nil"/>
              <w:left w:val="nil"/>
              <w:bottom w:val="nil"/>
              <w:right w:val="nil"/>
              <w:tl2br w:val="nil"/>
              <w:tr2bl w:val="nil"/>
            </w:tcBorders>
            <w:noWrap w:val="0"/>
            <w:vAlign w:val="top"/>
          </w:tcPr>
          <w:p>
            <w:pPr>
              <w:spacing w:beforeLines="0" w:afterLines="0" w:line="240" w:lineRule="auto"/>
              <w:jc w:val="center"/>
              <w:rPr>
                <w:rFonts w:hint="default" w:ascii="Arial" w:hAnsi="Arial"/>
                <w:color w:val="000000"/>
                <w:sz w:val="20"/>
              </w:rPr>
            </w:pPr>
            <w:r>
              <w:rPr>
                <w:rFonts w:hint="eastAsia" w:ascii="宋体" w:hAnsi="宋体"/>
                <w:color w:val="000000"/>
                <w:sz w:val="3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15"/>
            <w:tcBorders>
              <w:top w:val="nil"/>
              <w:left w:val="nil"/>
              <w:bottom w:val="nil"/>
              <w:right w:val="nil"/>
              <w:tl2br w:val="nil"/>
              <w:tr2bl w:val="nil"/>
            </w:tcBorders>
            <w:noWrap w:val="0"/>
            <w:vAlign w:val="top"/>
          </w:tcPr>
          <w:p>
            <w:pPr>
              <w:spacing w:beforeLines="0" w:afterLines="0" w:line="240" w:lineRule="auto"/>
              <w:jc w:val="right"/>
              <w:rPr>
                <w:rFonts w:hint="eastAsia" w:ascii="宋体" w:hAnsi="宋体"/>
                <w:color w:val="000000"/>
                <w:sz w:val="20"/>
              </w:rPr>
            </w:pPr>
            <w:r>
              <w:rPr>
                <w:rFonts w:hint="eastAsia" w:ascii="宋体" w:hAnsi="宋体"/>
                <w:color w:val="000000"/>
                <w:sz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017" w:type="pct"/>
            <w:gridSpan w:val="12"/>
            <w:tcBorders>
              <w:top w:val="nil"/>
              <w:left w:val="nil"/>
              <w:bottom w:val="nil"/>
              <w:right w:val="nil"/>
              <w:tl2br w:val="nil"/>
              <w:tr2bl w:val="nil"/>
            </w:tcBorders>
            <w:noWrap w:val="0"/>
            <w:vAlign w:val="top"/>
          </w:tcPr>
          <w:p>
            <w:pPr>
              <w:spacing w:beforeLines="0" w:afterLines="0" w:line="240" w:lineRule="auto"/>
              <w:jc w:val="left"/>
              <w:rPr>
                <w:rFonts w:hint="default" w:ascii="Arial" w:hAnsi="Arial"/>
                <w:color w:val="000000"/>
                <w:sz w:val="20"/>
              </w:rPr>
            </w:pPr>
            <w:r>
              <w:rPr>
                <w:rFonts w:hint="eastAsia" w:ascii="宋体" w:hAnsi="宋体"/>
                <w:color w:val="000000"/>
                <w:sz w:val="20"/>
              </w:rPr>
              <w:t>部门：廊坊市香河县科学技术协会（本级）</w:t>
            </w:r>
          </w:p>
        </w:tc>
        <w:tc>
          <w:tcPr>
            <w:tcW w:w="982" w:type="pct"/>
            <w:gridSpan w:val="3"/>
            <w:tcBorders>
              <w:top w:val="nil"/>
              <w:left w:val="nil"/>
              <w:bottom w:val="nil"/>
              <w:right w:val="nil"/>
              <w:tl2br w:val="nil"/>
              <w:tr2bl w:val="nil"/>
            </w:tcBorders>
            <w:noWrap w:val="0"/>
            <w:vAlign w:val="top"/>
          </w:tcPr>
          <w:p>
            <w:pPr>
              <w:spacing w:beforeLines="0" w:afterLines="0" w:line="240" w:lineRule="auto"/>
              <w:jc w:val="right"/>
              <w:rPr>
                <w:rFonts w:hint="eastAsia" w:ascii="宋体" w:hAnsi="宋体"/>
                <w:color w:val="000000"/>
                <w:sz w:val="20"/>
              </w:rPr>
            </w:pPr>
            <w:r>
              <w:rPr>
                <w:rFonts w:hint="eastAsia" w:ascii="宋体" w:hAnsi="宋体"/>
                <w:color w:val="000000"/>
                <w:sz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single" w:color="000000" w:sz="6" w:space="0"/>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收入</w:t>
            </w:r>
          </w:p>
        </w:tc>
        <w:tc>
          <w:tcPr>
            <w:tcW w:w="476" w:type="pct"/>
            <w:gridSpan w:val="2"/>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c>
          <w:tcPr>
            <w:tcW w:w="859" w:type="pct"/>
            <w:gridSpan w:val="2"/>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c>
          <w:tcPr>
            <w:tcW w:w="1429" w:type="pct"/>
            <w:gridSpan w:val="4"/>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支出</w:t>
            </w:r>
          </w:p>
        </w:tc>
        <w:tc>
          <w:tcPr>
            <w:tcW w:w="408" w:type="pct"/>
            <w:gridSpan w:val="2"/>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c>
          <w:tcPr>
            <w:tcW w:w="982" w:type="pct"/>
            <w:gridSpan w:val="3"/>
            <w:tcBorders>
              <w:top w:val="single" w:color="000000" w:sz="6" w:space="0"/>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项目</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行次</w:t>
            </w:r>
          </w:p>
        </w:tc>
        <w:tc>
          <w:tcPr>
            <w:tcW w:w="859"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金额</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项目</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行次</w:t>
            </w:r>
          </w:p>
        </w:tc>
        <w:tc>
          <w:tcPr>
            <w:tcW w:w="982" w:type="pct"/>
            <w:gridSpan w:val="3"/>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栏次</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c>
          <w:tcPr>
            <w:tcW w:w="859"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栏次</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p>
        </w:tc>
        <w:tc>
          <w:tcPr>
            <w:tcW w:w="982" w:type="pct"/>
            <w:gridSpan w:val="3"/>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一、财政拨款收入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250.99</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一、一般公共服务支出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28</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二、上级补助收入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6.00</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二、外交支出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29</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三、事业收入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三、国防支出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30</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四、经营收入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四、公共安全支出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31</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五、附属单位上缴收入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五、教育支出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32</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六、其他收入</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6</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六、科学技术支出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33</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244.54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7</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七、文化体育与传媒支出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34</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8</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八、社会保障和就业支出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35</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9</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九、医疗卫生与计划生育支出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36</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10</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十、节能环保支出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37</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11</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十一、城乡社区支出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38</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12</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十二、农林水支出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39</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13</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十三、交通运输支出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40</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14</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十四、资源勘探信息等支出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41</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15</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十五、商业服务业等支出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42</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16</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十六、金融支出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43</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17</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十七、援助其他地区支出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44</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18</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十八、国土海洋气象等支出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45</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19</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十九、住房保障支出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46</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20</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二十、粮油物资储备支出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47</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21</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二十一、其他支出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48</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22</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0"/>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二十二、债务还本支出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49</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23</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二十三、债务付息支出</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50</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本年收入合计</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24</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256.99</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本年支出合计</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51</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244.54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用事业基金弥补收支差额</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25</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结余分配</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52</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年初结转和结余</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26</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1.00</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年末结转和结余</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53</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44" w:type="pct"/>
            <w:gridSpan w:val="2"/>
            <w:tcBorders>
              <w:top w:val="nil"/>
              <w:left w:val="single" w:color="000000" w:sz="6" w:space="0"/>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b/>
                <w:color w:val="000000"/>
                <w:sz w:val="22"/>
              </w:rPr>
            </w:pPr>
            <w:r>
              <w:rPr>
                <w:rFonts w:hint="eastAsia" w:ascii="宋体" w:hAnsi="宋体"/>
                <w:b/>
                <w:color w:val="000000"/>
                <w:sz w:val="22"/>
              </w:rPr>
              <w:t>总计</w:t>
            </w:r>
          </w:p>
        </w:tc>
        <w:tc>
          <w:tcPr>
            <w:tcW w:w="476"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27</w:t>
            </w:r>
          </w:p>
        </w:tc>
        <w:tc>
          <w:tcPr>
            <w:tcW w:w="859" w:type="pct"/>
            <w:gridSpan w:val="2"/>
            <w:tcBorders>
              <w:top w:val="nil"/>
              <w:left w:val="nil"/>
              <w:bottom w:val="single" w:color="000000" w:sz="6" w:space="0"/>
              <w:right w:val="single" w:color="000000" w:sz="6" w:space="0"/>
              <w:tl2br w:val="nil"/>
              <w:tr2bl w:val="nil"/>
            </w:tcBorders>
            <w:shd w:val="clear" w:color="auto" w:fill="auto"/>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257.99</w:t>
            </w:r>
          </w:p>
        </w:tc>
        <w:tc>
          <w:tcPr>
            <w:tcW w:w="1429" w:type="pct"/>
            <w:gridSpan w:val="4"/>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b/>
                <w:color w:val="000000"/>
                <w:sz w:val="22"/>
              </w:rPr>
            </w:pPr>
            <w:r>
              <w:rPr>
                <w:rFonts w:hint="eastAsia" w:ascii="宋体" w:hAnsi="宋体"/>
                <w:b/>
                <w:color w:val="000000"/>
                <w:sz w:val="22"/>
              </w:rPr>
              <w:t>总计</w:t>
            </w:r>
          </w:p>
        </w:tc>
        <w:tc>
          <w:tcPr>
            <w:tcW w:w="408" w:type="pct"/>
            <w:gridSpan w:val="2"/>
            <w:tcBorders>
              <w:top w:val="nil"/>
              <w:left w:val="nil"/>
              <w:bottom w:val="single" w:color="000000" w:sz="6" w:space="0"/>
              <w:right w:val="single" w:color="000000" w:sz="6" w:space="0"/>
              <w:tl2br w:val="nil"/>
              <w:tr2bl w:val="nil"/>
            </w:tcBorders>
            <w:shd w:val="solid" w:color="C0C0C0" w:fill="FFFFFF"/>
            <w:noWrap w:val="0"/>
            <w:vAlign w:val="top"/>
          </w:tcPr>
          <w:p>
            <w:pPr>
              <w:spacing w:beforeLines="0" w:afterLines="0" w:line="240" w:lineRule="auto"/>
              <w:jc w:val="center"/>
              <w:rPr>
                <w:rFonts w:hint="eastAsia" w:ascii="宋体" w:hAnsi="宋体"/>
                <w:color w:val="000000"/>
                <w:sz w:val="22"/>
              </w:rPr>
            </w:pPr>
            <w:r>
              <w:rPr>
                <w:rFonts w:hint="eastAsia" w:ascii="宋体" w:hAnsi="宋体"/>
                <w:color w:val="000000"/>
                <w:sz w:val="22"/>
              </w:rPr>
              <w:t>54</w:t>
            </w:r>
          </w:p>
        </w:tc>
        <w:tc>
          <w:tcPr>
            <w:tcW w:w="982" w:type="pct"/>
            <w:gridSpan w:val="3"/>
            <w:tcBorders>
              <w:top w:val="nil"/>
              <w:left w:val="nil"/>
              <w:bottom w:val="single" w:color="000000" w:sz="6" w:space="0"/>
              <w:right w:val="single" w:color="000000" w:sz="6" w:space="0"/>
              <w:tl2br w:val="nil"/>
              <w:tr2bl w:val="nil"/>
            </w:tcBorders>
            <w:noWrap w:val="0"/>
            <w:vAlign w:val="top"/>
          </w:tcPr>
          <w:p>
            <w:pPr>
              <w:spacing w:beforeLines="0" w:afterLines="0" w:line="240" w:lineRule="auto"/>
              <w:jc w:val="right"/>
              <w:rPr>
                <w:rFonts w:hint="eastAsia" w:ascii="宋体" w:hAnsi="宋体"/>
                <w:color w:val="000000"/>
                <w:sz w:val="22"/>
              </w:rPr>
            </w:pPr>
            <w:r>
              <w:rPr>
                <w:rFonts w:hint="eastAsia" w:ascii="宋体" w:hAnsi="宋体"/>
                <w:color w:val="000000"/>
                <w:sz w:val="22"/>
              </w:rPr>
              <w:t>257.99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5"/>
            <w:tcBorders>
              <w:top w:val="nil"/>
              <w:left w:val="nil"/>
              <w:bottom w:val="nil"/>
              <w:right w:val="nil"/>
              <w:tl2br w:val="nil"/>
              <w:tr2bl w:val="nil"/>
            </w:tcBorders>
            <w:noWrap w:val="0"/>
            <w:vAlign w:val="top"/>
          </w:tcPr>
          <w:p>
            <w:pPr>
              <w:spacing w:beforeLines="0" w:afterLines="0" w:line="240" w:lineRule="auto"/>
              <w:jc w:val="left"/>
              <w:rPr>
                <w:rFonts w:hint="eastAsia" w:ascii="宋体" w:hAnsi="宋体"/>
                <w:color w:val="000000"/>
                <w:sz w:val="22"/>
              </w:rPr>
            </w:pPr>
            <w:r>
              <w:rPr>
                <w:rFonts w:hint="eastAsia" w:ascii="宋体" w:hAnsi="宋体"/>
                <w:color w:val="000000"/>
                <w:sz w:val="22"/>
              </w:rPr>
              <w:t>注：本表反映部门本年度的总收支和年末结转结余情况。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90" w:hRule="atLeast"/>
        </w:trPr>
        <w:tc>
          <w:tcPr>
            <w:tcW w:w="3911" w:type="pct"/>
            <w:gridSpan w:val="13"/>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255" w:hRule="atLeast"/>
        </w:trPr>
        <w:tc>
          <w:tcPr>
            <w:tcW w:w="3911" w:type="pct"/>
            <w:gridSpan w:val="13"/>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255" w:hRule="atLeast"/>
        </w:trPr>
        <w:tc>
          <w:tcPr>
            <w:tcW w:w="3360" w:type="pct"/>
            <w:gridSpan w:val="12"/>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551"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1002" w:type="pct"/>
            <w:gridSpan w:val="4"/>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43"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385"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733"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304"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23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351" w:type="pct"/>
            <w:gridSpan w:val="2"/>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51"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89" w:type="pct"/>
            <w:gridSpan w:val="2"/>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43"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8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73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0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3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51"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689" w:type="pct"/>
            <w:gridSpan w:val="2"/>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43"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85"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73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04"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3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51" w:type="pct"/>
            <w:gridSpan w:val="2"/>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51"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1002"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43"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8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4"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1" w:type="pct"/>
            <w:gridSpan w:val="2"/>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51"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1002" w:type="pct"/>
            <w:gridSpan w:val="4"/>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256.99</w:t>
            </w: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250.99</w:t>
            </w: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6.00</w:t>
            </w: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256.99</w:t>
            </w: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502"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256.99</w:t>
            </w: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256.99</w:t>
            </w: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12" w:type="pct"/>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89"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43"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8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0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3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51" w:type="pct"/>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gridBefore w:val="1"/>
          <w:gridAfter w:val="1"/>
          <w:wBefore w:w="839" w:type="pct"/>
          <w:wAfter w:w="248" w:type="pct"/>
          <w:trHeight w:val="308" w:hRule="atLeast"/>
        </w:trPr>
        <w:tc>
          <w:tcPr>
            <w:tcW w:w="3911" w:type="pct"/>
            <w:gridSpan w:val="1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tbl>
      <w:tblPr>
        <w:tblStyle w:val="12"/>
        <w:tblW w:w="4998" w:type="pct"/>
        <w:tblInd w:w="0" w:type="dxa"/>
        <w:shd w:val="clear" w:color="auto" w:fill="auto"/>
        <w:tblLayout w:type="autofit"/>
        <w:tblCellMar>
          <w:top w:w="0" w:type="dxa"/>
          <w:left w:w="0" w:type="dxa"/>
          <w:bottom w:w="0" w:type="dxa"/>
          <w:right w:w="0" w:type="dxa"/>
        </w:tblCellMar>
      </w:tblPr>
      <w:tblGrid>
        <w:gridCol w:w="3901"/>
        <w:gridCol w:w="2188"/>
        <w:gridCol w:w="925"/>
        <w:gridCol w:w="1529"/>
        <w:gridCol w:w="928"/>
        <w:gridCol w:w="928"/>
        <w:gridCol w:w="928"/>
        <w:gridCol w:w="1454"/>
      </w:tblGrid>
      <w:tr>
        <w:tblPrEx>
          <w:tblCellMar>
            <w:top w:w="0" w:type="dxa"/>
            <w:left w:w="0" w:type="dxa"/>
            <w:bottom w:w="0" w:type="dxa"/>
            <w:right w:w="0" w:type="dxa"/>
          </w:tblCellMar>
        </w:tblPrEx>
        <w:trPr>
          <w:trHeight w:val="390"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trPr>
        <w:tc>
          <w:tcPr>
            <w:tcW w:w="4431" w:type="pct"/>
            <w:gridSpan w:val="7"/>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568"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382" w:type="pct"/>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62"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59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63"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63"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363"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68"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trPr>
        <w:tc>
          <w:tcPr>
            <w:tcW w:w="1526"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855"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2"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6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855"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2"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9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3"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68"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382"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62"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3"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382"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244.54</w:t>
            </w: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244.54</w:t>
            </w: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244.54</w:t>
            </w: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6"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8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9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tbl>
      <w:tblPr>
        <w:tblStyle w:val="12"/>
        <w:tblW w:w="4996" w:type="pct"/>
        <w:tblInd w:w="0" w:type="dxa"/>
        <w:shd w:val="clear" w:color="auto" w:fill="auto"/>
        <w:tblLayout w:type="autofit"/>
        <w:tblCellMar>
          <w:top w:w="0" w:type="dxa"/>
          <w:left w:w="0" w:type="dxa"/>
          <w:bottom w:w="0" w:type="dxa"/>
          <w:right w:w="0" w:type="dxa"/>
        </w:tblCellMar>
      </w:tblPr>
      <w:tblGrid>
        <w:gridCol w:w="3824"/>
        <w:gridCol w:w="250"/>
        <w:gridCol w:w="1121"/>
        <w:gridCol w:w="3620"/>
        <w:gridCol w:w="250"/>
        <w:gridCol w:w="1105"/>
        <w:gridCol w:w="1160"/>
        <w:gridCol w:w="1446"/>
      </w:tblGrid>
      <w:tr>
        <w:tblPrEx>
          <w:tblCellMar>
            <w:top w:w="0" w:type="dxa"/>
            <w:left w:w="0" w:type="dxa"/>
            <w:bottom w:w="0" w:type="dxa"/>
            <w:right w:w="0" w:type="dxa"/>
          </w:tblCellMar>
        </w:tblPrEx>
        <w:trPr>
          <w:trHeight w:val="390"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trPr>
        <w:tc>
          <w:tcPr>
            <w:tcW w:w="4434" w:type="pct"/>
            <w:gridSpan w:val="7"/>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565"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033"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2966" w:type="pct"/>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trPr>
        <w:tc>
          <w:tcPr>
            <w:tcW w:w="1497"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3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41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33"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56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CellMar>
            <w:top w:w="0" w:type="dxa"/>
            <w:left w:w="0" w:type="dxa"/>
            <w:bottom w:w="0" w:type="dxa"/>
            <w:right w:w="0" w:type="dxa"/>
          </w:tblCellMar>
        </w:tblPrEx>
        <w:trPr>
          <w:trHeight w:val="338" w:hRule="atLeast"/>
        </w:trPr>
        <w:tc>
          <w:tcPr>
            <w:tcW w:w="1497"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9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141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9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3"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5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6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6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w:t>
            </w: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497"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3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141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3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250.99</w:t>
            </w:r>
          </w:p>
        </w:tc>
        <w:tc>
          <w:tcPr>
            <w:tcW w:w="5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tbl>
      <w:tblPr>
        <w:tblStyle w:val="12"/>
        <w:tblpPr w:leftFromText="180" w:rightFromText="180" w:vertAnchor="text" w:horzAnchor="page" w:tblpX="2060" w:tblpY="737"/>
        <w:tblOverlap w:val="never"/>
        <w:tblW w:w="5000" w:type="pct"/>
        <w:tblInd w:w="0" w:type="dxa"/>
        <w:shd w:val="clear" w:color="auto" w:fill="auto"/>
        <w:tblLayout w:type="fixed"/>
        <w:tblCellMar>
          <w:top w:w="0" w:type="dxa"/>
          <w:left w:w="0" w:type="dxa"/>
          <w:bottom w:w="0" w:type="dxa"/>
          <w:right w:w="0" w:type="dxa"/>
        </w:tblCellMar>
      </w:tblPr>
      <w:tblGrid>
        <w:gridCol w:w="3900"/>
        <w:gridCol w:w="1770"/>
        <w:gridCol w:w="4530"/>
        <w:gridCol w:w="1156"/>
        <w:gridCol w:w="1430"/>
      </w:tblGrid>
      <w:tr>
        <w:tblPrEx>
          <w:shd w:val="clear" w:color="auto" w:fill="auto"/>
        </w:tblPrEx>
        <w:trPr>
          <w:trHeight w:val="390"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trPr>
        <w:tc>
          <w:tcPr>
            <w:tcW w:w="4440" w:type="pct"/>
            <w:gridSpan w:val="4"/>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559"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217" w:type="pct"/>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782"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trPr>
        <w:tc>
          <w:tcPr>
            <w:tcW w:w="1525"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692"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71"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5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5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1525"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692"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1771"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5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5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217"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7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5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217"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243.54</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243.54</w:t>
            </w: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525"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69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77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bl>
    <w:tbl>
      <w:tblPr>
        <w:tblStyle w:val="12"/>
        <w:tblpPr w:leftFromText="180" w:rightFromText="180" w:vertAnchor="text" w:horzAnchor="page" w:tblpX="2105" w:tblpY="488"/>
        <w:tblOverlap w:val="never"/>
        <w:tblW w:w="4886" w:type="pct"/>
        <w:tblInd w:w="0" w:type="dxa"/>
        <w:shd w:val="clear" w:color="auto" w:fill="auto"/>
        <w:tblLayout w:type="fixed"/>
        <w:tblCellMar>
          <w:top w:w="0" w:type="dxa"/>
          <w:left w:w="0" w:type="dxa"/>
          <w:bottom w:w="0" w:type="dxa"/>
          <w:right w:w="0" w:type="dxa"/>
        </w:tblCellMar>
      </w:tblPr>
      <w:tblGrid>
        <w:gridCol w:w="675"/>
        <w:gridCol w:w="2475"/>
        <w:gridCol w:w="987"/>
        <w:gridCol w:w="738"/>
        <w:gridCol w:w="2190"/>
        <w:gridCol w:w="900"/>
        <w:gridCol w:w="1080"/>
        <w:gridCol w:w="2415"/>
        <w:gridCol w:w="1035"/>
      </w:tblGrid>
      <w:tr>
        <w:tblPrEx>
          <w:shd w:val="clear" w:color="auto" w:fill="auto"/>
          <w:tblCellMar>
            <w:top w:w="0" w:type="dxa"/>
            <w:left w:w="0" w:type="dxa"/>
            <w:bottom w:w="0" w:type="dxa"/>
            <w:right w:w="0" w:type="dxa"/>
          </w:tblCellMar>
        </w:tblPrEx>
        <w:trPr>
          <w:trHeight w:val="390"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CellMar>
            <w:top w:w="0" w:type="dxa"/>
            <w:left w:w="0" w:type="dxa"/>
            <w:bottom w:w="0" w:type="dxa"/>
            <w:right w:w="0" w:type="dxa"/>
          </w:tblCellMar>
        </w:tblPrEx>
        <w:trPr>
          <w:trHeight w:val="255" w:hRule="atLeast"/>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55" w:hRule="atLeast"/>
        </w:trPr>
        <w:tc>
          <w:tcPr>
            <w:tcW w:w="4585" w:type="pct"/>
            <w:gridSpan w:val="8"/>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41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655" w:type="pct"/>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3344"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trPr>
        <w:tc>
          <w:tcPr>
            <w:tcW w:w="270"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99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9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95"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87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432"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96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1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270"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99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9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95"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87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6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2"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96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1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163.04</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46.35</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51.10</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32.54</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15.86</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0.44</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0.81</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51.82</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37.51</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0.65</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w:t>
            </w: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9"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7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9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87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3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4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96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260"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39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214.86</w:t>
            </w:r>
          </w:p>
        </w:tc>
        <w:tc>
          <w:tcPr>
            <w:tcW w:w="2930" w:type="pct"/>
            <w:gridSpan w:val="5"/>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4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28.68</w:t>
            </w: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tbl>
      <w:tblPr>
        <w:tblStyle w:val="12"/>
        <w:tblpPr w:leftFromText="180" w:rightFromText="180" w:vertAnchor="text" w:horzAnchor="page" w:tblpX="2000" w:tblpY="407"/>
        <w:tblOverlap w:val="never"/>
        <w:tblW w:w="5000" w:type="pct"/>
        <w:tblInd w:w="0" w:type="dxa"/>
        <w:shd w:val="clear" w:color="auto" w:fill="auto"/>
        <w:tblLayout w:type="fixed"/>
        <w:tblCellMar>
          <w:top w:w="0" w:type="dxa"/>
          <w:left w:w="0" w:type="dxa"/>
          <w:bottom w:w="0" w:type="dxa"/>
          <w:right w:w="0" w:type="dxa"/>
        </w:tblCellMar>
      </w:tblPr>
      <w:tblGrid>
        <w:gridCol w:w="2434"/>
        <w:gridCol w:w="1608"/>
        <w:gridCol w:w="716"/>
        <w:gridCol w:w="606"/>
        <w:gridCol w:w="478"/>
        <w:gridCol w:w="1741"/>
        <w:gridCol w:w="990"/>
        <w:gridCol w:w="1110"/>
        <w:gridCol w:w="678"/>
        <w:gridCol w:w="529"/>
        <w:gridCol w:w="734"/>
        <w:gridCol w:w="1162"/>
      </w:tblGrid>
      <w:tr>
        <w:tblPrEx>
          <w:shd w:val="clear" w:color="auto" w:fill="auto"/>
          <w:tblCellMar>
            <w:top w:w="0" w:type="dxa"/>
            <w:left w:w="0" w:type="dxa"/>
            <w:bottom w:w="0" w:type="dxa"/>
            <w:right w:w="0" w:type="dxa"/>
          </w:tblCellMar>
        </w:tblPrEx>
        <w:trPr>
          <w:trHeight w:val="390"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trPr>
        <w:tc>
          <w:tcPr>
            <w:tcW w:w="5000" w:type="pct"/>
            <w:gridSpan w:val="12"/>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trPr>
        <w:tc>
          <w:tcPr>
            <w:tcW w:w="4545" w:type="pct"/>
            <w:gridSpan w:val="11"/>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454"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965" w:type="pct"/>
            <w:gridSpan w:val="6"/>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034" w:type="pct"/>
            <w:gridSpan w:val="6"/>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trPr>
        <w:tc>
          <w:tcPr>
            <w:tcW w:w="951"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28"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703"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80"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87"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3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759" w:type="pct"/>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454"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trPr>
        <w:tc>
          <w:tcPr>
            <w:tcW w:w="951"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628"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79"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3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8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80"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387"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6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28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454"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951"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28"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9"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80"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8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34"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5"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06"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87"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4" w:type="pc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951"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628"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8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6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3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43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6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8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45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tbl>
      <w:tblPr>
        <w:tblStyle w:val="12"/>
        <w:tblpPr w:leftFromText="180" w:rightFromText="180" w:vertAnchor="text" w:horzAnchor="page" w:tblpX="2015" w:tblpY="515"/>
        <w:tblOverlap w:val="never"/>
        <w:tblW w:w="4998" w:type="pct"/>
        <w:tblInd w:w="0" w:type="dxa"/>
        <w:shd w:val="clear" w:color="auto" w:fill="auto"/>
        <w:tblLayout w:type="autofit"/>
        <w:tblCellMar>
          <w:top w:w="0" w:type="dxa"/>
          <w:left w:w="0" w:type="dxa"/>
          <w:bottom w:w="0" w:type="dxa"/>
          <w:right w:w="0" w:type="dxa"/>
        </w:tblCellMar>
      </w:tblPr>
      <w:tblGrid>
        <w:gridCol w:w="3355"/>
        <w:gridCol w:w="1434"/>
        <w:gridCol w:w="1115"/>
        <w:gridCol w:w="3188"/>
        <w:gridCol w:w="1158"/>
        <w:gridCol w:w="527"/>
        <w:gridCol w:w="565"/>
        <w:gridCol w:w="1439"/>
      </w:tblGrid>
      <w:tr>
        <w:tblPrEx>
          <w:tblCellMar>
            <w:top w:w="0" w:type="dxa"/>
            <w:left w:w="0" w:type="dxa"/>
            <w:bottom w:w="0" w:type="dxa"/>
            <w:right w:w="0" w:type="dxa"/>
          </w:tblCellMar>
        </w:tblPrEx>
        <w:trPr>
          <w:trHeight w:val="390"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5000" w:type="pct"/>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4437" w:type="pct"/>
            <w:gridSpan w:val="7"/>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56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874" w:type="pct"/>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6"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247"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879" w:type="pct"/>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562" w:type="pct"/>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313" w:type="pct"/>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60"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3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1247"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53"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06"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19" w:type="pct"/>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62"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36"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1247"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53"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06"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219" w:type="pct"/>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562" w:type="pct"/>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87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7"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06"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1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874"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313"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3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1247"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5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06"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21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本部门本年度无相关收支情况，按要求空表列示。</w:t>
            </w:r>
          </w:p>
        </w:tc>
      </w:tr>
    </w:tbl>
    <w:p>
      <w:pPr>
        <w:tabs>
          <w:tab w:val="left" w:pos="1086"/>
        </w:tabs>
        <w:jc w:val="left"/>
        <w:rPr>
          <w:rFonts w:ascii="仿宋_GB2312" w:hAnsi="宋体" w:eastAsia="仿宋_GB2312"/>
          <w:b/>
          <w:sz w:val="28"/>
          <w:szCs w:val="28"/>
          <w:highlight w:val="yellow"/>
        </w:rPr>
      </w:pPr>
    </w:p>
    <w:tbl>
      <w:tblPr>
        <w:tblStyle w:val="12"/>
        <w:tblpPr w:leftFromText="180" w:rightFromText="180" w:vertAnchor="text" w:horzAnchor="page" w:tblpX="2105" w:tblpY="402"/>
        <w:tblOverlap w:val="never"/>
        <w:tblW w:w="5000" w:type="pct"/>
        <w:tblInd w:w="0" w:type="dxa"/>
        <w:shd w:val="clear" w:color="auto" w:fill="auto"/>
        <w:tblLayout w:type="autofit"/>
        <w:tblCellMar>
          <w:top w:w="0" w:type="dxa"/>
          <w:left w:w="0" w:type="dxa"/>
          <w:bottom w:w="0" w:type="dxa"/>
          <w:right w:w="0" w:type="dxa"/>
        </w:tblCellMar>
      </w:tblPr>
      <w:tblGrid>
        <w:gridCol w:w="4294"/>
        <w:gridCol w:w="1166"/>
        <w:gridCol w:w="4616"/>
        <w:gridCol w:w="1268"/>
        <w:gridCol w:w="1442"/>
      </w:tblGrid>
      <w:tr>
        <w:tblPrEx>
          <w:shd w:val="clear" w:color="auto" w:fill="auto"/>
          <w:tblCellMar>
            <w:top w:w="0" w:type="dxa"/>
            <w:left w:w="0" w:type="dxa"/>
            <w:bottom w:w="0" w:type="dxa"/>
            <w:right w:w="0" w:type="dxa"/>
          </w:tblCellMar>
        </w:tblPrEx>
        <w:trPr>
          <w:trHeight w:val="390"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trPr>
        <w:tc>
          <w:tcPr>
            <w:tcW w:w="5000" w:type="pct"/>
            <w:gridSpan w:val="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trPr>
        <w:tc>
          <w:tcPr>
            <w:tcW w:w="4436" w:type="pct"/>
            <w:gridSpan w:val="4"/>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编制单位：廊坊市香河县科学技术协会（本级）</w:t>
            </w:r>
          </w:p>
        </w:tc>
        <w:tc>
          <w:tcPr>
            <w:tcW w:w="563"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135" w:type="pct"/>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2864" w:type="pct"/>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554" w:hRule="atLeast"/>
        </w:trPr>
        <w:tc>
          <w:tcPr>
            <w:tcW w:w="1679" w:type="pc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5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trPr>
        <w:tc>
          <w:tcPr>
            <w:tcW w:w="2135"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95"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63"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trPr>
        <w:tc>
          <w:tcPr>
            <w:tcW w:w="2135" w:type="pct"/>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45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hint="eastAsia" w:ascii="宋体" w:hAnsi="宋体" w:eastAsia="宋体" w:cs="宋体"/>
                <w:i w:val="0"/>
                <w:color w:val="000000"/>
                <w:sz w:val="22"/>
                <w:szCs w:val="22"/>
                <w:u w:val="none"/>
              </w:rPr>
            </w:pPr>
          </w:p>
        </w:tc>
        <w:tc>
          <w:tcPr>
            <w:tcW w:w="180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95"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3"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3" w:hRule="atLeast"/>
        </w:trPr>
        <w:tc>
          <w:tcPr>
            <w:tcW w:w="5000" w:type="pct"/>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本部门本年度无相关支出情况，按要求空表列示。</w:t>
            </w:r>
          </w:p>
        </w:tc>
      </w:tr>
    </w:tbl>
    <w:p>
      <w:pPr>
        <w:tabs>
          <w:tab w:val="left" w:pos="1086"/>
        </w:tabs>
        <w:jc w:val="left"/>
        <w:rPr>
          <w:rFonts w:ascii="仿宋_GB2312" w:hAnsi="宋体" w:eastAsia="仿宋_GB2312"/>
          <w:b/>
          <w:sz w:val="28"/>
          <w:szCs w:val="28"/>
          <w:highlight w:val="yellow"/>
        </w:rPr>
      </w:pPr>
    </w:p>
    <w:tbl>
      <w:tblPr>
        <w:tblStyle w:val="12"/>
        <w:tblpPr w:leftFromText="180" w:rightFromText="180" w:vertAnchor="text" w:horzAnchor="page" w:tblpX="2075" w:tblpY="374"/>
        <w:tblOverlap w:val="never"/>
        <w:tblW w:w="4998" w:type="pct"/>
        <w:tblInd w:w="0" w:type="dxa"/>
        <w:shd w:val="clear" w:color="auto" w:fill="auto"/>
        <w:tblLayout w:type="autofit"/>
        <w:tblCellMar>
          <w:top w:w="0" w:type="dxa"/>
          <w:left w:w="0" w:type="dxa"/>
          <w:bottom w:w="0" w:type="dxa"/>
          <w:right w:w="0" w:type="dxa"/>
        </w:tblCellMar>
      </w:tblPr>
      <w:tblGrid>
        <w:gridCol w:w="4217"/>
        <w:gridCol w:w="1227"/>
        <w:gridCol w:w="1230"/>
        <w:gridCol w:w="2127"/>
        <w:gridCol w:w="1570"/>
        <w:gridCol w:w="971"/>
        <w:gridCol w:w="1439"/>
      </w:tblGrid>
      <w:tr>
        <w:tblPrEx>
          <w:shd w:val="clear" w:color="auto" w:fill="auto"/>
          <w:tblCellMar>
            <w:top w:w="0" w:type="dxa"/>
            <w:left w:w="0" w:type="dxa"/>
            <w:bottom w:w="0" w:type="dxa"/>
            <w:right w:w="0" w:type="dxa"/>
          </w:tblCellMar>
        </w:tblPrEx>
        <w:trPr>
          <w:trHeight w:val="390"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spacing w:line="240" w:lineRule="auto"/>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政府采购情况表</w:t>
            </w:r>
          </w:p>
        </w:tc>
      </w:tr>
      <w:tr>
        <w:tblPrEx>
          <w:tblCellMar>
            <w:top w:w="0" w:type="dxa"/>
            <w:left w:w="0" w:type="dxa"/>
            <w:bottom w:w="0" w:type="dxa"/>
            <w:right w:w="0" w:type="dxa"/>
          </w:tblCellMar>
        </w:tblPrEx>
        <w:trPr>
          <w:trHeight w:val="255" w:hRule="atLeast"/>
        </w:trPr>
        <w:tc>
          <w:tcPr>
            <w:tcW w:w="5000" w:type="pct"/>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CellMar>
            <w:top w:w="0" w:type="dxa"/>
            <w:left w:w="0" w:type="dxa"/>
            <w:bottom w:w="0" w:type="dxa"/>
            <w:right w:w="0" w:type="dxa"/>
          </w:tblCellMar>
        </w:tblPrEx>
        <w:trPr>
          <w:trHeight w:val="255" w:hRule="atLeast"/>
        </w:trPr>
        <w:tc>
          <w:tcPr>
            <w:tcW w:w="4437" w:type="pct"/>
            <w:gridSpan w:val="6"/>
            <w:tcBorders>
              <w:top w:val="nil"/>
              <w:left w:val="nil"/>
              <w:bottom w:val="nil"/>
              <w:right w:val="nil"/>
            </w:tcBorders>
            <w:shd w:val="clear" w:color="auto" w:fill="auto"/>
            <w:noWrap/>
            <w:tcMar>
              <w:top w:w="15" w:type="dxa"/>
              <w:left w:w="15" w:type="dxa"/>
              <w:right w:w="15" w:type="dxa"/>
            </w:tcMar>
            <w:vAlign w:val="bottom"/>
          </w:tcPr>
          <w:p>
            <w:pPr>
              <w:spacing w:line="240" w:lineRule="auto"/>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编制单位：廊坊市香河县科学技术协会（本级）</w:t>
            </w:r>
          </w:p>
        </w:tc>
        <w:tc>
          <w:tcPr>
            <w:tcW w:w="562" w:type="pct"/>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1650" w:type="pct"/>
            <w:vMerge w:val="restart"/>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349" w:type="pct"/>
            <w:gridSpan w:val="6"/>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采购计划金额</w:t>
            </w:r>
          </w:p>
        </w:tc>
      </w:tr>
      <w:tr>
        <w:tblPrEx>
          <w:tblCellMar>
            <w:top w:w="0" w:type="dxa"/>
            <w:left w:w="0" w:type="dxa"/>
            <w:bottom w:w="0" w:type="dxa"/>
            <w:right w:w="0" w:type="dxa"/>
          </w:tblCellMar>
        </w:tblPrEx>
        <w:trPr>
          <w:trHeight w:val="308" w:hRule="atLeast"/>
        </w:trPr>
        <w:tc>
          <w:tcPr>
            <w:tcW w:w="1650" w:type="pct"/>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0"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2306" w:type="pct"/>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562"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308" w:hRule="atLeast"/>
        </w:trPr>
        <w:tc>
          <w:tcPr>
            <w:tcW w:w="1650" w:type="pct"/>
            <w:vMerge w:val="continue"/>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0"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6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3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562"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vMerge w:val="restar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349" w:type="pct"/>
            <w:gridSpan w:val="6"/>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实际采购金额</w:t>
            </w:r>
          </w:p>
        </w:tc>
      </w:tr>
      <w:tr>
        <w:tblPrEx>
          <w:tblCellMar>
            <w:top w:w="0" w:type="dxa"/>
            <w:left w:w="0" w:type="dxa"/>
            <w:bottom w:w="0" w:type="dxa"/>
            <w:right w:w="0" w:type="dxa"/>
          </w:tblCellMar>
        </w:tblPrEx>
        <w:trPr>
          <w:trHeight w:val="308" w:hRule="atLeast"/>
        </w:trPr>
        <w:tc>
          <w:tcPr>
            <w:tcW w:w="1650" w:type="pct"/>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0"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2306" w:type="pct"/>
            <w:gridSpan w:val="4"/>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562" w:type="pct"/>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CellMar>
            <w:top w:w="0" w:type="dxa"/>
            <w:left w:w="0" w:type="dxa"/>
            <w:bottom w:w="0" w:type="dxa"/>
            <w:right w:w="0" w:type="dxa"/>
          </w:tblCellMar>
        </w:tblPrEx>
        <w:trPr>
          <w:trHeight w:val="308" w:hRule="atLeast"/>
        </w:trPr>
        <w:tc>
          <w:tcPr>
            <w:tcW w:w="1650" w:type="pct"/>
            <w:vMerge w:val="continue"/>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0"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6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3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562" w:type="pct"/>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spacing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80"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1"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3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14"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79"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62" w:type="pc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650" w:type="pct"/>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480"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481"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83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614"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379"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c>
          <w:tcPr>
            <w:tcW w:w="562" w:type="pc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本部门本年度无相关收支情况，按要求空表列示。</w:t>
            </w:r>
          </w:p>
        </w:tc>
      </w:tr>
    </w:tbl>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pPr>
    </w:p>
    <w:p>
      <w:pPr>
        <w:tabs>
          <w:tab w:val="left" w:pos="1086"/>
        </w:tabs>
        <w:jc w:val="left"/>
        <w:rPr>
          <w:rFonts w:ascii="仿宋_GB2312" w:hAnsi="宋体" w:eastAsia="仿宋_GB2312"/>
          <w:b/>
          <w:sz w:val="28"/>
          <w:szCs w:val="28"/>
          <w:highlight w:val="yellow"/>
        </w:rPr>
        <w:sectPr>
          <w:pgSz w:w="16838" w:h="11906" w:orient="landscape"/>
          <w:pgMar w:top="1588" w:right="2098" w:bottom="1474" w:left="1984"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w:t>
      </w:r>
      <w:r>
        <w:rPr>
          <w:rFonts w:hint="eastAsia" w:ascii="仿宋_GB2312" w:eastAsia="仿宋_GB2312" w:cs="DengXian-Regular"/>
          <w:sz w:val="32"/>
          <w:szCs w:val="32"/>
          <w:lang w:eastAsia="zh-CN"/>
        </w:rPr>
        <w:t>入</w:t>
      </w:r>
      <w:r>
        <w:rPr>
          <w:rFonts w:hint="eastAsia" w:ascii="仿宋_GB2312" w:eastAsia="仿宋_GB2312" w:cs="DengXian-Regular"/>
          <w:sz w:val="32"/>
          <w:szCs w:val="32"/>
        </w:rPr>
        <w:t>总计（含结转和结余）</w:t>
      </w:r>
      <w:r>
        <w:rPr>
          <w:rFonts w:hint="eastAsia" w:ascii="仿宋_GB2312" w:eastAsia="仿宋_GB2312" w:cs="DengXian-Regular"/>
          <w:sz w:val="32"/>
          <w:szCs w:val="32"/>
          <w:lang w:val="en-US" w:eastAsia="zh-CN"/>
        </w:rPr>
        <w:t>257.99</w:t>
      </w:r>
      <w:r>
        <w:rPr>
          <w:rFonts w:hint="eastAsia" w:ascii="仿宋_GB2312" w:eastAsia="仿宋_GB2312" w:cs="DengXian-Regular"/>
          <w:sz w:val="32"/>
          <w:szCs w:val="32"/>
        </w:rPr>
        <w:t>万元</w:t>
      </w:r>
      <w:r>
        <w:rPr>
          <w:rFonts w:hint="eastAsia" w:ascii="仿宋" w:hAnsi="仿宋" w:eastAsia="仿宋" w:cs="仿宋"/>
          <w:sz w:val="32"/>
          <w:szCs w:val="32"/>
          <w:lang w:val="en-US" w:eastAsia="zh-CN"/>
        </w:rPr>
        <w:t>、本年支出244.54万元、年末结转和结余13.45万元。与2017年度决算相比，本年收入增加38.61万元，增长17.6%，主要是人员经费增加；本年支出增加26.16万元，增长11.98%，主要是人员经费增加。</w: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numPr>
          <w:ilvl w:val="0"/>
          <w:numId w:val="0"/>
        </w:numPr>
        <w:shd w:val="clear"/>
        <w:ind w:leftChars="0"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hint="eastAsia" w:ascii="仿宋_GB2312" w:eastAsia="仿宋_GB2312" w:cs="DengXian-Regular"/>
          <w:sz w:val="32"/>
          <w:szCs w:val="32"/>
          <w:lang w:val="en-US" w:eastAsia="zh-CN"/>
        </w:rPr>
        <w:t>256.99</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250.99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97.67</w:t>
      </w:r>
      <w:r>
        <w:rPr>
          <w:rFonts w:ascii="仿宋_GB2312" w:eastAsia="仿宋_GB2312" w:cs="DengXian-Regular"/>
          <w:sz w:val="32"/>
          <w:szCs w:val="32"/>
        </w:rPr>
        <w:t>%</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2.33</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tabs>
          <w:tab w:val="left" w:pos="5265"/>
        </w:tabs>
        <w:rPr>
          <w:rFonts w:hint="default" w:ascii="黑体" w:hAnsi="Calibri" w:eastAsia="黑体"/>
          <w:sz w:val="32"/>
          <w:szCs w:val="32"/>
          <w:lang w:val="en-US" w:eastAsia="zh-CN"/>
        </w:rPr>
      </w:pPr>
      <w:r>
        <w:rPr>
          <w:sz w:val="32"/>
        </w:rPr>
        <w:pict>
          <v:shape id="_x0000_s2052" o:spid="_x0000_s2052" o:spt="41" type="#_x0000_t41" style="position:absolute;left:0pt;margin-left:272.25pt;margin-top:35.85pt;height:48pt;width:72pt;z-index:251661312;mso-width-relative:page;mso-height-relative:page;" fillcolor="#FFFFFF" filled="t" stroked="t" coordsize="21600,21600" adj="-11234,7763,-659,8438">
            <v:path arrowok="t"/>
            <v:fill on="t" focussize="0,0"/>
            <v:stroke color="#000000"/>
            <v:imagedata o:title=""/>
            <o:lock v:ext="edit" aspectratio="f"/>
            <v:textbox>
              <w:txbxContent>
                <w:p>
                  <w:pPr>
                    <w:rPr>
                      <w:rFonts w:hint="eastAsia"/>
                      <w:lang w:val="en-US" w:eastAsia="zh-CN"/>
                    </w:rPr>
                  </w:pPr>
                  <w:r>
                    <w:rPr>
                      <w:rFonts w:hint="eastAsia"/>
                      <w:lang w:val="en-US" w:eastAsia="zh-CN"/>
                    </w:rPr>
                    <w:t>97.67%</w:t>
                  </w:r>
                </w:p>
                <w:p>
                  <w:pPr>
                    <w:rPr>
                      <w:rFonts w:hint="default" w:eastAsia="宋体"/>
                      <w:lang w:val="en-US" w:eastAsia="zh-CN"/>
                    </w:rPr>
                  </w:pPr>
                  <w:r>
                    <w:rPr>
                      <w:rFonts w:hint="eastAsia"/>
                      <w:lang w:val="en-US" w:eastAsia="zh-CN"/>
                    </w:rPr>
                    <w:t>财政拨</w:t>
                  </w:r>
                </w:p>
              </w:txbxContent>
            </v:textbox>
          </v:shape>
        </w:pict>
      </w:r>
      <w:r>
        <w:rPr>
          <w:sz w:val="32"/>
        </w:rPr>
        <w:pict>
          <v:shape id="_x0000_s2053" o:spid="_x0000_s2053" o:spt="95" type="#_x0000_t95" style="position:absolute;left:0pt;margin-left:162.75pt;margin-top:30.6pt;height:61.5pt;width:72pt;mso-wrap-distance-bottom:0pt;mso-wrap-distance-left:9pt;mso-wrap-distance-right:9pt;mso-wrap-distance-top:0pt;rotation:11796480f;z-index:251660288;mso-width-relative:page;mso-height-relative:page;" fillcolor="#92D050" filled="t" stroked="t" coordsize="21600,21600" adj="-7025251,3805">
            <v:path/>
            <v:fill on="t" focussize="0,0"/>
            <v:stroke color="#000000"/>
            <v:imagedata o:title=""/>
            <o:lock v:ext="edit" aspectratio="f"/>
            <v:textbox>
              <w:txbxContent>
                <w:p>
                  <w:pPr>
                    <w:jc w:val="center"/>
                    <w:rPr>
                      <w:rFonts w:hint="default" w:eastAsia="宋体"/>
                      <w:lang w:val="en-US" w:eastAsia="zh-CN"/>
                    </w:rPr>
                  </w:pPr>
                </w:p>
              </w:txbxContent>
            </v:textbox>
            <w10:wrap type="square"/>
          </v:shape>
        </w:pict>
      </w:r>
      <w:r>
        <w:rPr>
          <w:sz w:val="32"/>
        </w:rPr>
        <w:pict>
          <v:shape id="_x0000_s2054" o:spid="_x0000_s2054" o:spt="95" type="#_x0000_t95" style="position:absolute;left:0pt;margin-left:162.75pt;margin-top:18.55pt;height:74.3pt;width:71.25pt;mso-wrap-distance-bottom:0pt;mso-wrap-distance-left:9pt;mso-wrap-distance-right:9pt;mso-wrap-distance-top:0pt;z-index:251659264;mso-width-relative:page;mso-height-relative:page;" fillcolor="#FFC000" filled="t" stroked="t" coordsize="21600,21600" adj="6933707,4925">
            <v:path/>
            <v:fill on="t" focussize="0,0"/>
            <v:stroke color="#000000"/>
            <v:imagedata o:title=""/>
            <o:lock v:ext="edit" aspectratio="f"/>
            <v:textbox>
              <w:txbxContent>
                <w:p>
                  <w:pPr>
                    <w:rPr>
                      <w:rFonts w:hint="default" w:eastAsia="宋体"/>
                      <w:lang w:val="en-US" w:eastAsia="zh-CN"/>
                    </w:rPr>
                  </w:pPr>
                </w:p>
              </w:txbxContent>
            </v:textbox>
            <w10:wrap type="square"/>
          </v:shape>
        </w:pict>
      </w:r>
      <w:r>
        <w:rPr>
          <w:rFonts w:hint="eastAsia" w:ascii="黑体" w:hAnsi="Calibri" w:eastAsia="黑体"/>
          <w:sz w:val="32"/>
          <w:szCs w:val="32"/>
          <w:lang w:eastAsia="zh-CN"/>
        </w:rPr>
        <w:tab/>
      </w:r>
      <w:r>
        <w:rPr>
          <w:rFonts w:hint="eastAsia" w:ascii="黑体" w:hAnsi="Calibri" w:eastAsia="黑体"/>
          <w:sz w:val="32"/>
          <w:szCs w:val="32"/>
          <w:lang w:val="en-US" w:eastAsia="zh-CN"/>
        </w:rPr>
        <w:t xml:space="preserve">1       </w:t>
      </w:r>
    </w:p>
    <w:p>
      <w:pPr>
        <w:tabs>
          <w:tab w:val="left" w:pos="5325"/>
        </w:tabs>
        <w:rPr>
          <w:rFonts w:hint="default" w:ascii="黑体" w:hAnsi="Calibri" w:eastAsia="黑体"/>
          <w:sz w:val="32"/>
          <w:szCs w:val="32"/>
          <w:lang w:val="en-US" w:eastAsia="zh-CN"/>
        </w:rPr>
      </w:pPr>
      <w:r>
        <w:rPr>
          <w:rFonts w:hint="eastAsia" w:ascii="黑体" w:hAnsi="Calibri" w:eastAsia="黑体"/>
          <w:sz w:val="32"/>
          <w:szCs w:val="32"/>
          <w:lang w:val="en-US" w:eastAsia="zh-CN"/>
        </w:rPr>
        <w:t xml:space="preserve"> </w:t>
      </w:r>
      <w:r>
        <w:rPr>
          <w:rFonts w:hint="eastAsia" w:ascii="黑体" w:hAnsi="Calibri" w:eastAsia="黑体"/>
          <w:sz w:val="32"/>
          <w:szCs w:val="32"/>
          <w:lang w:val="en-US" w:eastAsia="zh-CN"/>
        </w:rPr>
        <w:tab/>
      </w:r>
      <w:r>
        <w:rPr>
          <w:rFonts w:hint="eastAsia" w:ascii="黑体" w:hAnsi="Calibri" w:eastAsia="黑体"/>
          <w:sz w:val="32"/>
          <w:szCs w:val="32"/>
          <w:lang w:val="en-US" w:eastAsia="zh-CN"/>
        </w:rPr>
        <w:t>97</w:t>
      </w:r>
    </w:p>
    <w:p>
      <w:pPr>
        <w:tabs>
          <w:tab w:val="left" w:pos="5505"/>
        </w:tabs>
        <w:rPr>
          <w:rFonts w:hint="default"/>
          <w:lang w:val="en-US"/>
        </w:rPr>
      </w:pPr>
      <w:r>
        <w:rPr>
          <w:sz w:val="21"/>
        </w:rPr>
        <w:pict>
          <v:shape id="_x0000_s2059" o:spid="_x0000_s2059" o:spt="41" type="#_x0000_t41" style="position:absolute;left:0pt;margin-left:211.5pt;margin-top:21.95pt;height:48pt;width:72pt;z-index:251662336;mso-width-relative:page;mso-height-relative:page;" fillcolor="#FFFFFF" filled="t" stroked="t" coordsize="21600,21600" adj="75,10800,-3779,-4004">
            <v:path arrowok="t"/>
            <v:fill on="t" focussize="0,0"/>
            <v:stroke color="#000000"/>
            <v:imagedata o:title=""/>
            <o:lock v:ext="edit" aspectratio="f"/>
            <v:textbox>
              <w:txbxContent>
                <w:p>
                  <w:pPr>
                    <w:rPr>
                      <w:rFonts w:hint="default" w:eastAsia="宋体"/>
                      <w:lang w:val="en-US" w:eastAsia="zh-CN"/>
                    </w:rPr>
                  </w:pPr>
                  <w:r>
                    <w:rPr>
                      <w:rFonts w:hint="eastAsia"/>
                      <w:lang w:val="en-US" w:eastAsia="zh-CN"/>
                    </w:rPr>
                    <w:t>2.33%</w:t>
                  </w:r>
                </w:p>
                <w:p/>
                <w:p/>
              </w:txbxContent>
            </v:textbox>
          </v:shape>
        </w:pict>
      </w:r>
    </w:p>
    <w:p>
      <w:pPr>
        <w:pStyle w:val="3"/>
        <w:spacing w:before="0" w:after="0" w:line="580" w:lineRule="exact"/>
        <w:rPr>
          <w:rFonts w:hint="eastAsia" w:ascii="黑体" w:eastAsia="黑体"/>
          <w:b w:val="0"/>
          <w:bCs w:val="0"/>
        </w:rPr>
      </w:pP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hint="eastAsia" w:ascii="仿宋_GB2312" w:eastAsia="仿宋_GB2312" w:cs="DengXian-Regular"/>
          <w:sz w:val="32"/>
          <w:szCs w:val="32"/>
          <w:lang w:val="en-US" w:eastAsia="zh-CN"/>
        </w:rPr>
        <w:t>244.54</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244.54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ascii="仿宋_GB2312" w:eastAsia="仿宋_GB2312" w:cs="DengXian-Regular"/>
          <w:sz w:val="32"/>
          <w:szCs w:val="32"/>
        </w:rPr>
        <w:t>%</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640" w:firstLineChars="200"/>
        <w:rPr>
          <w:rFonts w:ascii="仿宋_GB2312" w:eastAsia="仿宋_GB2312" w:cs="DengXian-Regular"/>
          <w:sz w:val="32"/>
          <w:szCs w:val="32"/>
        </w:rPr>
      </w:pPr>
      <w:r>
        <w:rPr>
          <w:sz w:val="32"/>
        </w:rPr>
        <w:pict>
          <v:shape id="_x0000_s2061" o:spid="_x0000_s2061" o:spt="41" type="#_x0000_t41" style="position:absolute;left:0pt;margin-left:246pt;margin-top:28.5pt;height:48pt;width:72pt;z-index:251664384;mso-width-relative:page;mso-height-relative:page;" fillcolor="#FFFFFF" filled="t" stroked="t" coordsize="21600,21600" adj="-9164,11138,-434,9788">
            <v:path arrowok="t"/>
            <v:fill on="t" focussize="0,0"/>
            <v:stroke color="#000000"/>
            <v:imagedata o:title=""/>
            <o:lock v:ext="edit" aspectratio="f"/>
            <v:textbox>
              <w:txbxContent>
                <w:p>
                  <w:pPr>
                    <w:rPr>
                      <w:rFonts w:hint="default" w:eastAsia="宋体"/>
                      <w:lang w:val="en-US" w:eastAsia="zh-CN"/>
                    </w:rPr>
                  </w:pPr>
                  <w:r>
                    <w:rPr>
                      <w:rFonts w:hint="eastAsia"/>
                      <w:lang w:val="en-US" w:eastAsia="zh-CN"/>
                    </w:rPr>
                    <w:t>100%</w:t>
                  </w:r>
                </w:p>
              </w:txbxContent>
            </v:textbox>
          </v:shape>
        </w:pict>
      </w:r>
    </w:p>
    <w:p>
      <w:pPr>
        <w:tabs>
          <w:tab w:val="left" w:pos="6975"/>
        </w:tabs>
        <w:adjustRightInd w:val="0"/>
        <w:snapToGrid w:val="0"/>
        <w:spacing w:after="0" w:line="580" w:lineRule="exact"/>
        <w:ind w:firstLine="640" w:firstLineChars="200"/>
        <w:rPr>
          <w:rFonts w:hint="eastAsia" w:ascii="仿宋_GB2312" w:eastAsia="仿宋_GB2312" w:cs="DengXian-Regular"/>
          <w:sz w:val="32"/>
          <w:szCs w:val="32"/>
          <w:lang w:eastAsia="zh-CN"/>
        </w:rPr>
      </w:pPr>
      <w:r>
        <w:rPr>
          <w:sz w:val="32"/>
        </w:rPr>
        <w:pict>
          <v:shape id="_x0000_s2060" o:spid="_x0000_s2060" o:spt="95" type="#_x0000_t95" style="position:absolute;left:0pt;margin-left:146.25pt;margin-top:3pt;height:72pt;width:72pt;z-index:251663360;mso-width-relative:page;mso-height-relative:page;" fillcolor="#92D050" filled="t" stroked="t" coordsize="21600,21600" adj="-5867958,5580">
            <v:path/>
            <v:fill on="t" focussize="0,0"/>
            <v:stroke color="#000000"/>
            <v:imagedata o:title=""/>
            <o:lock v:ext="edit" aspectratio="f"/>
          </v:shape>
        </w:pict>
      </w:r>
      <w:r>
        <w:rPr>
          <w:rFonts w:hint="eastAsia" w:ascii="仿宋_GB2312" w:eastAsia="仿宋_GB2312" w:cs="DengXian-Regular"/>
          <w:sz w:val="32"/>
          <w:szCs w:val="32"/>
          <w:lang w:eastAsia="zh-CN"/>
        </w:rPr>
        <w:tab/>
      </w:r>
    </w:p>
    <w:p>
      <w:pPr>
        <w:tabs>
          <w:tab w:val="left" w:pos="7215"/>
        </w:tabs>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hint="eastAsia" w:ascii="仿宋_GB2312" w:eastAsia="仿宋_GB2312" w:cs="DengXian-Regular"/>
          <w:sz w:val="32"/>
          <w:szCs w:val="32"/>
          <w:lang w:val="en-US" w:eastAsia="zh-CN"/>
        </w:rPr>
        <w:t>250.99</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hint="eastAsia" w:ascii="仿宋_GB2312" w:eastAsia="仿宋_GB2312" w:cs="DengXian-Regular"/>
          <w:sz w:val="32"/>
          <w:szCs w:val="32"/>
          <w:lang w:val="en-US" w:eastAsia="zh-CN"/>
        </w:rPr>
        <w:t>42.99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20.67</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243.54</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32.16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15.21</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人员经费增加</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pict>
          <v:shape id="图表 1" o:spid="_x0000_s2062" o:spt="75" type="#_x0000_t75" style="position:absolute;left:0pt;margin-left:36pt;margin-top:0.9pt;height:217.5pt;width:361.5pt;mso-wrap-distance-bottom:0pt;mso-wrap-distance-top:0pt;z-index:251665408;mso-width-relative:page;mso-height-relative:page;" filled="f" o:preferrelative="t" stroked="f" coordsize="21600,21600" o:gfxdata="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">
            <v:path/>
            <v:fill on="f" focussize="0,0"/>
            <v:stroke on="f"/>
            <v:imagedata r:id="rId6" o:title=""/>
            <o:lock v:ext="edit" aspectratio="f"/>
            <w10:wrap type="topAndBottom"/>
          </v:shape>
        </w:pict>
      </w:r>
    </w:p>
    <w:p>
      <w:pPr>
        <w:spacing w:after="0" w:line="580" w:lineRule="exact"/>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hint="eastAsia" w:ascii="仿宋_GB2312" w:eastAsia="仿宋_GB2312" w:cs="DengXian-Regular"/>
          <w:sz w:val="32"/>
          <w:szCs w:val="32"/>
          <w:lang w:val="en-US" w:eastAsia="zh-CN"/>
        </w:rPr>
        <w:t>250.99</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92.88</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19.25</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人员退休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243.54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90.12</w:t>
      </w:r>
      <w:r>
        <w:rPr>
          <w:rFonts w:ascii="仿宋_GB2312" w:eastAsia="仿宋_GB2312" w:cs="DengXian-Regular"/>
          <w:sz w:val="32"/>
          <w:szCs w:val="32"/>
        </w:rPr>
        <w:t>%,</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26.7</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人员退休</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420" w:firstLineChars="200"/>
        <w:rPr>
          <w:rFonts w:ascii="仿宋_GB2312" w:eastAsia="仿宋_GB2312" w:cs="DengXian-Regular"/>
          <w:sz w:val="32"/>
          <w:szCs w:val="32"/>
          <w:highlight w:val="yellow"/>
        </w:rPr>
      </w:pPr>
      <w:r>
        <w:rPr>
          <w:highlight w:val="none"/>
        </w:rPr>
        <w:pict>
          <v:shape id="_x0000_s2063" o:spid="_x0000_s2063" o:spt="75" type="#_x0000_t75" style="position:absolute;left:0pt;margin-left:30pt;margin-top:3.25pt;height:209.3pt;width:375pt;mso-wrap-distance-bottom:0pt;mso-wrap-distance-top:0pt;z-index:251666432;mso-width-relative:page;mso-height-relative:page;" filled="f" o:preferrelative="t" stroked="f" coordsize="21600,21600" o:gfxdata="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">
            <v:path/>
            <v:fill on="f" focussize="0,0"/>
            <v:stroke on="f"/>
            <v:imagedata r:id="rId7" o:title=""/>
            <o:lock v:ext="edit" aspectratio="f"/>
            <w10:wrap type="topAndBottom"/>
          </v:shape>
        </w:pict>
      </w:r>
      <w:r>
        <w:rPr>
          <w:rFonts w:hint="eastAsia" w:ascii="仿宋_GB2312" w:eastAsia="仿宋_GB2312" w:cs="DengXian-Regular"/>
          <w:sz w:val="32"/>
          <w:szCs w:val="32"/>
          <w:highlight w:val="none"/>
          <w:lang w:eastAsia="zh-CN"/>
        </w:rPr>
        <w:tab/>
      </w: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hint="eastAsia" w:ascii="仿宋_GB2312" w:eastAsia="仿宋_GB2312" w:cs="DengXian-Regular"/>
          <w:sz w:val="32"/>
          <w:szCs w:val="32"/>
          <w:lang w:val="en-US" w:eastAsia="zh-CN"/>
        </w:rPr>
        <w:t>243.54</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243.54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ascii="仿宋_GB2312" w:eastAsia="仿宋_GB2312" w:cs="DengXian-Regular"/>
          <w:sz w:val="32"/>
          <w:szCs w:val="32"/>
        </w:rPr>
        <w:t>%</w:t>
      </w:r>
      <w:r>
        <w:rPr>
          <w:rFonts w:hint="eastAsia" w:ascii="仿宋_GB2312" w:eastAsia="仿宋_GB2312" w:cs="DengXian-Regular"/>
          <w:sz w:val="32"/>
          <w:szCs w:val="32"/>
        </w:rPr>
        <w:t>；社会保障和就业（类）支出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ascii="仿宋_GB2312" w:eastAsia="仿宋_GB2312" w:cs="DengXian-Regular"/>
          <w:sz w:val="32"/>
          <w:szCs w:val="32"/>
        </w:rPr>
        <w:t>%</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rPr>
          <w:sz w:val="32"/>
        </w:rPr>
        <w:pict>
          <v:shape id="_x0000_s2065" o:spid="_x0000_s2065" o:spt="41" type="#_x0000_t41" style="position:absolute;left:0pt;margin-left:264.75pt;margin-top:1.1pt;height:48pt;width:72pt;z-index:251668480;mso-width-relative:page;mso-height-relative:page;" fillcolor="#FFFFFF" filled="t" stroked="t" coordsize="21600,21600" adj="-8280,24300,15,12150">
            <v:path arrowok="t"/>
            <v:fill on="t" color2="#FFFFFF" focussize="0,0"/>
            <v:stroke color="#000000"/>
            <v:imagedata o:title=""/>
            <o:lock v:ext="edit" aspectratio="f"/>
            <v:textbox>
              <w:txbxContent>
                <w:p>
                  <w:pPr>
                    <w:rPr>
                      <w:rFonts w:hint="default" w:eastAsia="宋体"/>
                      <w:lang w:val="en-US" w:eastAsia="zh-CN"/>
                    </w:rPr>
                  </w:pPr>
                  <w:r>
                    <w:rPr>
                      <w:rFonts w:hint="eastAsia"/>
                      <w:lang w:val="en-US" w:eastAsia="zh-CN"/>
                    </w:rPr>
                    <w:t>100%</w:t>
                  </w:r>
                </w:p>
              </w:txbxContent>
            </v:textbox>
          </v:shape>
        </w:pict>
      </w:r>
      <w:r>
        <w:rPr>
          <w:sz w:val="32"/>
        </w:rPr>
        <w:pict>
          <v:shape id="_x0000_s2064" o:spid="_x0000_s2064" o:spt="95" type="#_x0000_t95" style="position:absolute;left:0pt;margin-left:165pt;margin-top:20.8pt;height:72pt;width:72pt;z-index:251667456;mso-width-relative:page;mso-height-relative:page;" fillcolor="#FFC000" filled="t" stroked="t" coordsize="21600,21600" adj="-5898240,5625">
            <v:path/>
            <v:fill on="t" color2="#FFFFFF" focussize="0,0"/>
            <v:stroke color="#000000"/>
            <v:imagedata o:title=""/>
            <o:lock v:ext="edit" aspectratio="f"/>
          </v:shape>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hint="eastAsia" w:ascii="仿宋_GB2312" w:eastAsia="仿宋_GB2312" w:cs="DengXian-Regular"/>
          <w:sz w:val="32"/>
          <w:szCs w:val="32"/>
          <w:lang w:val="en-US" w:eastAsia="zh-CN"/>
        </w:rPr>
        <w:t>243.54</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214.86</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28.68</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highlight w:val="yellow"/>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hint="eastAsia" w:eastAsia="仿宋_GB2312"/>
          <w:sz w:val="32"/>
          <w:szCs w:val="32"/>
          <w:lang w:val="en-US" w:eastAsia="zh-CN"/>
        </w:rPr>
        <w:t>0.31</w:t>
      </w:r>
      <w:r>
        <w:rPr>
          <w:rFonts w:hint="eastAsia" w:eastAsia="仿宋_GB2312"/>
          <w:sz w:val="32"/>
          <w:szCs w:val="32"/>
        </w:rPr>
        <w:t>万元，比年初预算减少</w:t>
      </w:r>
      <w:r>
        <w:rPr>
          <w:rFonts w:hint="eastAsia" w:eastAsia="仿宋_GB2312"/>
          <w:sz w:val="32"/>
          <w:szCs w:val="32"/>
          <w:lang w:val="en-US" w:eastAsia="zh-CN"/>
        </w:rPr>
        <w:t>1.59</w:t>
      </w:r>
      <w:r>
        <w:rPr>
          <w:rFonts w:hint="eastAsia" w:eastAsia="仿宋_GB2312"/>
          <w:sz w:val="32"/>
          <w:szCs w:val="32"/>
        </w:rPr>
        <w:t>万元，降低</w:t>
      </w:r>
      <w:r>
        <w:rPr>
          <w:rFonts w:hint="eastAsia" w:eastAsia="仿宋_GB2312"/>
          <w:sz w:val="32"/>
          <w:szCs w:val="32"/>
          <w:lang w:val="en-US" w:eastAsia="zh-CN"/>
        </w:rPr>
        <w:t>83.68</w:t>
      </w:r>
      <w:r>
        <w:rPr>
          <w:rFonts w:eastAsia="仿宋_GB2312"/>
          <w:sz w:val="32"/>
          <w:szCs w:val="32"/>
        </w:rPr>
        <w:t>%</w:t>
      </w:r>
      <w:r>
        <w:rPr>
          <w:rFonts w:hint="eastAsia" w:eastAsia="仿宋_GB2312"/>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1.59</w:t>
      </w:r>
      <w:r>
        <w:rPr>
          <w:rFonts w:hint="eastAsia" w:eastAsia="仿宋_GB2312"/>
          <w:sz w:val="32"/>
          <w:szCs w:val="32"/>
        </w:rPr>
        <w:t>万元，降低</w:t>
      </w:r>
      <w:r>
        <w:rPr>
          <w:rFonts w:hint="eastAsia" w:eastAsia="仿宋_GB2312"/>
          <w:sz w:val="32"/>
          <w:szCs w:val="32"/>
          <w:lang w:val="en-US" w:eastAsia="zh-CN"/>
        </w:rPr>
        <w:t>83.68</w:t>
      </w:r>
      <w:r>
        <w:rPr>
          <w:rFonts w:eastAsia="仿宋_GB2312"/>
          <w:sz w:val="32"/>
          <w:szCs w:val="32"/>
        </w:rPr>
        <w:t>%</w:t>
      </w:r>
      <w:r>
        <w:rPr>
          <w:rFonts w:hint="eastAsia" w:eastAsia="仿宋_GB2312"/>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（一）因公出国（境）费支出</w:t>
      </w:r>
      <w:r>
        <w:rPr>
          <w:rFonts w:hint="eastAsia" w:eastAsia="楷体_GB2312"/>
          <w:b/>
          <w:bCs/>
          <w:sz w:val="32"/>
          <w:szCs w:val="32"/>
          <w:lang w:val="en-US" w:eastAsia="zh-CN"/>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；比</w:t>
      </w:r>
      <w:r>
        <w:rPr>
          <w:rFonts w:eastAsia="仿宋_GB2312"/>
          <w:sz w:val="32"/>
          <w:szCs w:val="32"/>
        </w:rPr>
        <w:t>2017</w:t>
      </w:r>
      <w:r>
        <w:rPr>
          <w:rFonts w:hint="eastAsia" w:eastAsia="仿宋_GB2312"/>
          <w:sz w:val="32"/>
          <w:szCs w:val="32"/>
        </w:rPr>
        <w:t>年度决算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hint="eastAsia" w:eastAsia="楷体_GB2312"/>
          <w:b/>
          <w:bCs/>
          <w:sz w:val="32"/>
          <w:szCs w:val="32"/>
          <w:lang w:val="en-US" w:eastAsia="zh-CN"/>
        </w:rPr>
        <w:t>0.31</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hint="eastAsia" w:eastAsia="仿宋_GB2312"/>
          <w:sz w:val="32"/>
          <w:szCs w:val="32"/>
          <w:lang w:val="en-US" w:eastAsia="zh-CN"/>
        </w:rPr>
        <w:t>1.59</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hint="eastAsia" w:eastAsia="仿宋_GB2312"/>
          <w:sz w:val="32"/>
          <w:szCs w:val="32"/>
          <w:lang w:val="en-US" w:eastAsia="zh-CN"/>
        </w:rPr>
        <w:t>83.68</w:t>
      </w:r>
      <w:r>
        <w:rPr>
          <w:rFonts w:eastAsia="仿宋_GB2312"/>
          <w:sz w:val="32"/>
          <w:szCs w:val="32"/>
        </w:rPr>
        <w:t>%</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1.59</w:t>
      </w:r>
      <w:r>
        <w:rPr>
          <w:rFonts w:hint="eastAsia" w:eastAsia="仿宋_GB2312"/>
          <w:sz w:val="32"/>
          <w:szCs w:val="32"/>
        </w:rPr>
        <w:t>万元，降低</w:t>
      </w:r>
      <w:r>
        <w:rPr>
          <w:rFonts w:hint="eastAsia" w:eastAsia="仿宋_GB2312"/>
          <w:sz w:val="32"/>
          <w:szCs w:val="32"/>
          <w:lang w:val="en-US" w:eastAsia="zh-CN"/>
        </w:rPr>
        <w:t>83.68</w:t>
      </w:r>
      <w:r>
        <w:rPr>
          <w:rFonts w:eastAsia="仿宋_GB2312"/>
          <w:sz w:val="32"/>
          <w:szCs w:val="32"/>
        </w:rPr>
        <w:t>%</w:t>
      </w:r>
      <w:r>
        <w:rPr>
          <w:rFonts w:hint="eastAsia" w:eastAsia="仿宋_GB2312"/>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eastAsia="仿宋_GB2312"/>
          <w:sz w:val="32"/>
          <w:szCs w:val="32"/>
        </w:rPr>
        <w:t>。</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hint="eastAsia" w:eastAsia="仿宋_GB2312"/>
          <w:b/>
          <w:sz w:val="32"/>
          <w:szCs w:val="32"/>
          <w:lang w:val="en-US" w:eastAsia="zh-CN"/>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hint="eastAsia" w:eastAsia="仿宋_GB2312"/>
          <w:sz w:val="32"/>
          <w:szCs w:val="32"/>
          <w:lang w:val="en-US" w:eastAsia="zh-CN"/>
        </w:rPr>
        <w:t>0</w:t>
      </w:r>
      <w:r>
        <w:rPr>
          <w:rFonts w:hint="eastAsia" w:eastAsia="仿宋_GB2312"/>
          <w:sz w:val="32"/>
          <w:szCs w:val="32"/>
        </w:rPr>
        <w:t>辆。公务用车购置费支出比年初预算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；比</w:t>
      </w:r>
      <w:r>
        <w:rPr>
          <w:rFonts w:eastAsia="仿宋_GB2312"/>
          <w:sz w:val="32"/>
          <w:szCs w:val="32"/>
        </w:rPr>
        <w:t>2017</w:t>
      </w:r>
      <w:r>
        <w:rPr>
          <w:rFonts w:hint="eastAsia" w:eastAsia="仿宋_GB2312"/>
          <w:sz w:val="32"/>
          <w:szCs w:val="32"/>
        </w:rPr>
        <w:t>年度决算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公务用车运行维护费支出</w:t>
      </w:r>
      <w:r>
        <w:rPr>
          <w:rFonts w:hint="eastAsia" w:eastAsia="仿宋_GB2312"/>
          <w:b/>
          <w:sz w:val="32"/>
          <w:szCs w:val="32"/>
          <w:lang w:val="en-US" w:eastAsia="zh-CN"/>
        </w:rPr>
        <w:t>0.31</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hint="eastAsia" w:eastAsia="仿宋_GB2312"/>
          <w:sz w:val="32"/>
          <w:szCs w:val="32"/>
          <w:lang w:val="en-US" w:eastAsia="zh-CN"/>
        </w:rPr>
        <w:t>1</w:t>
      </w:r>
      <w:r>
        <w:rPr>
          <w:rFonts w:hint="eastAsia" w:eastAsia="仿宋_GB2312"/>
          <w:sz w:val="32"/>
          <w:szCs w:val="32"/>
        </w:rPr>
        <w:t>辆。公车运行维护费支出比年初预算减少</w:t>
      </w:r>
      <w:r>
        <w:rPr>
          <w:rFonts w:hint="eastAsia" w:eastAsia="仿宋_GB2312"/>
          <w:sz w:val="32"/>
          <w:szCs w:val="32"/>
          <w:lang w:val="en-US" w:eastAsia="zh-CN"/>
        </w:rPr>
        <w:t>1.59</w:t>
      </w:r>
      <w:r>
        <w:rPr>
          <w:rFonts w:hint="eastAsia" w:eastAsia="仿宋_GB2312"/>
          <w:sz w:val="32"/>
          <w:szCs w:val="32"/>
        </w:rPr>
        <w:t>万元，降低</w:t>
      </w:r>
      <w:r>
        <w:rPr>
          <w:rFonts w:hint="eastAsia" w:eastAsia="仿宋_GB2312"/>
          <w:sz w:val="32"/>
          <w:szCs w:val="32"/>
          <w:lang w:val="en-US" w:eastAsia="zh-CN"/>
        </w:rPr>
        <w:t>83.68</w:t>
      </w:r>
      <w:r>
        <w:rPr>
          <w:rFonts w:eastAsia="仿宋_GB2312"/>
          <w:sz w:val="32"/>
          <w:szCs w:val="32"/>
        </w:rPr>
        <w:t>%</w:t>
      </w:r>
      <w:r>
        <w:rPr>
          <w:rFonts w:hint="eastAsia" w:eastAsia="仿宋_GB2312"/>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1.59</w:t>
      </w:r>
      <w:r>
        <w:rPr>
          <w:rFonts w:hint="eastAsia" w:eastAsia="仿宋_GB2312"/>
          <w:sz w:val="32"/>
          <w:szCs w:val="32"/>
        </w:rPr>
        <w:t>万元，降低</w:t>
      </w:r>
      <w:r>
        <w:rPr>
          <w:rFonts w:hint="eastAsia" w:eastAsia="仿宋_GB2312"/>
          <w:sz w:val="32"/>
          <w:szCs w:val="32"/>
          <w:lang w:val="en-US" w:eastAsia="zh-CN"/>
        </w:rPr>
        <w:t>83.68</w:t>
      </w:r>
      <w:r>
        <w:rPr>
          <w:rFonts w:eastAsia="仿宋_GB2312"/>
          <w:sz w:val="32"/>
          <w:szCs w:val="32"/>
        </w:rPr>
        <w:t>%</w:t>
      </w:r>
      <w:r>
        <w:rPr>
          <w:rFonts w:hint="eastAsia" w:eastAsia="仿宋_GB2312"/>
          <w:sz w:val="32"/>
          <w:szCs w:val="32"/>
        </w:rPr>
        <w:t>，主要是</w:t>
      </w:r>
      <w:r>
        <w:rPr>
          <w:rFonts w:hint="eastAsia" w:eastAsia="仿宋_GB2312"/>
          <w:sz w:val="32"/>
          <w:szCs w:val="32"/>
          <w:lang w:eastAsia="zh-CN"/>
        </w:rPr>
        <w:t>公车在</w:t>
      </w:r>
      <w:r>
        <w:rPr>
          <w:rFonts w:hint="eastAsia" w:eastAsia="仿宋_GB2312"/>
          <w:sz w:val="32"/>
          <w:szCs w:val="32"/>
          <w:lang w:val="en-US" w:eastAsia="zh-CN"/>
        </w:rPr>
        <w:t>11月份调整给县财政局</w:t>
      </w:r>
      <w:r>
        <w:rPr>
          <w:rFonts w:hint="eastAsia"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rPr>
        <w:t>（三）公务接待费支出</w:t>
      </w:r>
      <w:r>
        <w:rPr>
          <w:rFonts w:hint="eastAsia" w:eastAsia="楷体_GB2312"/>
          <w:b/>
          <w:bCs/>
          <w:sz w:val="32"/>
          <w:szCs w:val="32"/>
          <w:lang w:val="en-US" w:eastAsia="zh-CN"/>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hint="eastAsia" w:eastAsia="仿宋_GB2312"/>
          <w:sz w:val="32"/>
          <w:szCs w:val="32"/>
          <w:lang w:val="en-US" w:eastAsia="zh-CN"/>
        </w:rPr>
        <w:t>0</w:t>
      </w:r>
      <w:r>
        <w:rPr>
          <w:rFonts w:hint="eastAsia" w:eastAsia="仿宋_GB2312"/>
          <w:sz w:val="32"/>
          <w:szCs w:val="32"/>
        </w:rPr>
        <w:t>批次、</w:t>
      </w:r>
      <w:r>
        <w:rPr>
          <w:rFonts w:hint="eastAsia" w:eastAsia="仿宋_GB2312"/>
          <w:sz w:val="32"/>
          <w:szCs w:val="32"/>
          <w:lang w:val="en-US" w:eastAsia="zh-CN"/>
        </w:rPr>
        <w:t>0</w:t>
      </w:r>
      <w:r>
        <w:rPr>
          <w:rFonts w:hint="eastAsia" w:eastAsia="仿宋_GB2312"/>
          <w:sz w:val="32"/>
          <w:szCs w:val="32"/>
        </w:rPr>
        <w:t>人次。公务接待费支出比年初预算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；比</w:t>
      </w:r>
      <w:r>
        <w:rPr>
          <w:rFonts w:eastAsia="仿宋_GB2312"/>
          <w:sz w:val="32"/>
          <w:szCs w:val="32"/>
        </w:rPr>
        <w:t>2017</w:t>
      </w:r>
      <w:r>
        <w:rPr>
          <w:rFonts w:hint="eastAsia" w:eastAsia="仿宋_GB2312"/>
          <w:sz w:val="32"/>
          <w:szCs w:val="32"/>
        </w:rPr>
        <w:t>年度决算</w:t>
      </w:r>
      <w:r>
        <w:rPr>
          <w:rFonts w:hint="eastAsia" w:eastAsia="仿宋_GB2312"/>
          <w:sz w:val="32"/>
          <w:szCs w:val="32"/>
          <w:lang w:eastAsia="zh-CN"/>
        </w:rPr>
        <w:t>无增减变化，</w:t>
      </w:r>
      <w:r>
        <w:rPr>
          <w:rFonts w:hint="eastAsia" w:ascii="仿宋" w:hAnsi="仿宋" w:eastAsia="仿宋" w:cs="仿宋"/>
          <w:sz w:val="32"/>
          <w:szCs w:val="32"/>
          <w:lang w:val="en-US" w:eastAsia="zh-CN"/>
        </w:rPr>
        <w:t>主要原因无</w:t>
      </w:r>
      <w:r>
        <w:rPr>
          <w:rFonts w:hint="eastAsia"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numPr>
          <w:ilvl w:val="0"/>
          <w:numId w:val="0"/>
        </w:numPr>
        <w:shd w:val="clear"/>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根据预算绩效管理要求，科协以“部门职责 —工作活动”为依据，确定部门预算项目和预算额度，清晰描述预算项目开支范围和内容，确定预算项目的绩效目标、绩效指标和评价标准，为预算绩效控制、绩效分析、绩效评价打下好的基础。</w:t>
      </w:r>
    </w:p>
    <w:p>
      <w:pPr>
        <w:numPr>
          <w:ilvl w:val="0"/>
          <w:numId w:val="2"/>
        </w:numPr>
        <w:shd w:val="clear"/>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按照县财政预算绩效管理要求，科协对 2018年初确定的部门一般公共预算支出专项项目全面开展了绩效自评。决算专项项目0项，共涉及预算资金 0万元。</w:t>
      </w:r>
    </w:p>
    <w:p>
      <w:pPr>
        <w:numPr>
          <w:ilvl w:val="0"/>
          <w:numId w:val="2"/>
        </w:numPr>
        <w:shd w:val="clear"/>
        <w:ind w:left="0" w:leftChars="0" w:firstLine="640" w:firstLineChars="200"/>
        <w:jc w:val="left"/>
        <w:rPr>
          <w:rFonts w:hint="eastAsia" w:ascii="仿宋" w:hAnsi="仿宋" w:eastAsia="仿宋" w:cs="仿宋"/>
          <w:b w:val="0"/>
          <w:bCs w:val="0"/>
          <w:sz w:val="32"/>
          <w:szCs w:val="32"/>
          <w:lang w:val="en-US" w:eastAsia="zh-CN"/>
        </w:rPr>
      </w:pPr>
      <w:r>
        <w:rPr>
          <w:rFonts w:hint="eastAsia" w:ascii="仿宋_GB2312" w:eastAsia="仿宋_GB2312" w:cs="DengXian-Regular"/>
          <w:sz w:val="32"/>
          <w:szCs w:val="32"/>
        </w:rPr>
        <w:t>重点项目绩效评价结果。</w:t>
      </w:r>
      <w:r>
        <w:rPr>
          <w:rFonts w:hint="eastAsia" w:ascii="仿宋" w:hAnsi="仿宋" w:eastAsia="仿宋" w:cs="仿宋"/>
          <w:b w:val="0"/>
          <w:bCs w:val="0"/>
          <w:sz w:val="32"/>
          <w:szCs w:val="32"/>
          <w:lang w:val="en-US" w:eastAsia="zh-CN"/>
        </w:rPr>
        <w:t xml:space="preserve"> </w:t>
      </w:r>
    </w:p>
    <w:p>
      <w:pPr>
        <w:numPr>
          <w:ilvl w:val="0"/>
          <w:numId w:val="0"/>
        </w:numPr>
        <w:shd w:val="clear"/>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sz w:val="32"/>
          <w:szCs w:val="32"/>
        </w:rPr>
        <w:t>随着财政预算管理部门越来越注重财政资金的使用效益,</w:t>
      </w:r>
      <w:r>
        <w:rPr>
          <w:rFonts w:hint="eastAsia" w:ascii="仿宋" w:hAnsi="仿宋" w:eastAsia="仿宋" w:cs="仿宋"/>
          <w:sz w:val="32"/>
          <w:szCs w:val="32"/>
          <w:lang w:eastAsia="zh-CN"/>
        </w:rPr>
        <w:t>本部门</w:t>
      </w:r>
      <w:r>
        <w:rPr>
          <w:rFonts w:hint="eastAsia" w:ascii="仿宋" w:hAnsi="仿宋" w:eastAsia="仿宋" w:cs="仿宋"/>
          <w:sz w:val="32"/>
          <w:szCs w:val="32"/>
        </w:rPr>
        <w:t>对提升项目的精细化、科学化和规范化管理水平开展常态化的绩效评价工作,从而提高预算资金使用效益</w:t>
      </w:r>
      <w:r>
        <w:rPr>
          <w:rFonts w:hint="eastAsia" w:ascii="仿宋" w:hAnsi="仿宋" w:eastAsia="仿宋" w:cs="仿宋"/>
          <w:sz w:val="32"/>
          <w:szCs w:val="32"/>
          <w:lang w:eastAsia="zh-CN"/>
        </w:rPr>
        <w:t>。针对</w:t>
      </w:r>
      <w:r>
        <w:rPr>
          <w:rFonts w:hint="eastAsia" w:ascii="仿宋" w:hAnsi="仿宋" w:eastAsia="仿宋" w:cs="仿宋"/>
          <w:sz w:val="32"/>
          <w:szCs w:val="32"/>
          <w:lang w:val="en-US" w:eastAsia="zh-CN"/>
        </w:rPr>
        <w:t>2018年初确定的部门预算项目全面开展了绩效自评，评价结果良好。</w:t>
      </w: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28.68</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8.95</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23.78</w:t>
      </w:r>
      <w:r>
        <w:rPr>
          <w:rFonts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节约成本</w:t>
      </w:r>
      <w:r>
        <w:rPr>
          <w:rFonts w:hint="eastAsia" w:ascii="仿宋_GB2312" w:eastAsia="仿宋_GB2312" w:cs="DengXian-Regular"/>
          <w:sz w:val="32"/>
          <w:szCs w:val="32"/>
        </w:rPr>
        <w:t>。</w:t>
      </w:r>
      <w:r>
        <w:rPr>
          <w:rFonts w:hint="eastAsia" w:eastAsia="仿宋_GB2312"/>
          <w:sz w:val="32"/>
          <w:szCs w:val="32"/>
        </w:rPr>
        <w:t>较</w:t>
      </w:r>
      <w:r>
        <w:rPr>
          <w:rFonts w:eastAsia="仿宋_GB2312"/>
          <w:sz w:val="32"/>
          <w:szCs w:val="32"/>
        </w:rPr>
        <w:t>2017</w:t>
      </w:r>
      <w:r>
        <w:rPr>
          <w:rFonts w:hint="eastAsia" w:eastAsia="仿宋_GB2312"/>
          <w:sz w:val="32"/>
          <w:szCs w:val="32"/>
        </w:rPr>
        <w:t>年度决算减少</w:t>
      </w:r>
      <w:r>
        <w:rPr>
          <w:rFonts w:hint="eastAsia" w:eastAsia="仿宋_GB2312"/>
          <w:sz w:val="32"/>
          <w:szCs w:val="32"/>
          <w:lang w:val="en-US" w:eastAsia="zh-CN"/>
        </w:rPr>
        <w:t>18.36</w:t>
      </w:r>
      <w:r>
        <w:rPr>
          <w:rFonts w:hint="eastAsia" w:eastAsia="仿宋_GB2312"/>
          <w:sz w:val="32"/>
          <w:szCs w:val="32"/>
        </w:rPr>
        <w:t>万元，降低</w:t>
      </w:r>
      <w:r>
        <w:rPr>
          <w:rFonts w:hint="eastAsia" w:eastAsia="仿宋_GB2312"/>
          <w:sz w:val="32"/>
          <w:szCs w:val="32"/>
          <w:lang w:val="en-US" w:eastAsia="zh-CN"/>
        </w:rPr>
        <w:t>39.03</w:t>
      </w:r>
      <w:r>
        <w:rPr>
          <w:rFonts w:eastAsia="仿宋_GB2312"/>
          <w:sz w:val="32"/>
          <w:szCs w:val="32"/>
        </w:rPr>
        <w:t>%</w:t>
      </w:r>
      <w:r>
        <w:rPr>
          <w:rFonts w:hint="eastAsia" w:eastAsia="仿宋_GB2312"/>
          <w:sz w:val="32"/>
          <w:szCs w:val="32"/>
        </w:rPr>
        <w:t>，主要是</w:t>
      </w:r>
      <w:r>
        <w:rPr>
          <w:rFonts w:hint="eastAsia" w:eastAsia="仿宋_GB2312"/>
          <w:sz w:val="32"/>
          <w:szCs w:val="32"/>
          <w:lang w:val="en-US" w:eastAsia="zh-CN"/>
        </w:rPr>
        <w:t>2017年结转资金较多</w:t>
      </w:r>
      <w:r>
        <w:rPr>
          <w:rFonts w:hint="eastAsia"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辆，比上年减少</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车辆调整给县财政</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无增减变化</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eastAsia="zh-CN"/>
        </w:rPr>
        <w:t>无增减变化</w:t>
      </w:r>
      <w:r>
        <w:rPr>
          <w:rFonts w:ascii="仿宋_GB2312" w:eastAsia="仿宋_GB2312" w:cs="DengXian-Regular"/>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无</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hint="eastAsia" w:ascii="仿宋" w:hAnsi="仿宋" w:eastAsia="仿宋" w:cs="仿宋"/>
          <w:i w:val="0"/>
          <w:color w:val="000000"/>
          <w:kern w:val="0"/>
          <w:sz w:val="32"/>
          <w:szCs w:val="32"/>
          <w:u w:val="none"/>
          <w:lang w:val="en-US" w:eastAsia="zh-CN" w:bidi="ar"/>
        </w:rPr>
        <w:t>政府性基金预算财政拨款收入支出决算表、国有资本经营预算财政拨款收入支出决算表、政府采购情况表</w:t>
      </w:r>
      <w:r>
        <w:rPr>
          <w:rFonts w:hint="eastAsia" w:ascii="仿宋_GB2312" w:eastAsia="仿宋_GB2312" w:cs="DengXian-Regular"/>
          <w:sz w:val="32"/>
          <w:szCs w:val="32"/>
        </w:rPr>
        <w:t>无收支及结转结余情况，故</w:t>
      </w:r>
      <w:r>
        <w:rPr>
          <w:rFonts w:hint="eastAsia" w:ascii="仿宋" w:hAnsi="仿宋" w:eastAsia="仿宋" w:cs="仿宋"/>
          <w:i w:val="0"/>
          <w:color w:val="000000"/>
          <w:kern w:val="0"/>
          <w:sz w:val="32"/>
          <w:szCs w:val="32"/>
          <w:u w:val="none"/>
          <w:lang w:val="en-US" w:eastAsia="zh-CN" w:bidi="ar"/>
        </w:rPr>
        <w:t>政府性基金预算财政拨款收入支出决算表、国有资本经营预算财政拨款收入支出决算表、政府采购情况表</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dobe 仿宋 Std R">
    <w:panose1 w:val="020204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4C2E5"/>
    <w:multiLevelType w:val="singleLevel"/>
    <w:tmpl w:val="0744C2E5"/>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605C5"/>
    <w:rsid w:val="00176658"/>
    <w:rsid w:val="0018239E"/>
    <w:rsid w:val="001B3410"/>
    <w:rsid w:val="001B7503"/>
    <w:rsid w:val="001C030D"/>
    <w:rsid w:val="001C4A84"/>
    <w:rsid w:val="001E5902"/>
    <w:rsid w:val="00233705"/>
    <w:rsid w:val="002420D3"/>
    <w:rsid w:val="00246D99"/>
    <w:rsid w:val="00257266"/>
    <w:rsid w:val="00262306"/>
    <w:rsid w:val="00275CA2"/>
    <w:rsid w:val="002A65A5"/>
    <w:rsid w:val="002C04C4"/>
    <w:rsid w:val="002D08B0"/>
    <w:rsid w:val="002D1AE3"/>
    <w:rsid w:val="002F2ECE"/>
    <w:rsid w:val="00327FFD"/>
    <w:rsid w:val="00341C8F"/>
    <w:rsid w:val="0035463A"/>
    <w:rsid w:val="00391D9D"/>
    <w:rsid w:val="003A6ECA"/>
    <w:rsid w:val="003B6C51"/>
    <w:rsid w:val="003C1413"/>
    <w:rsid w:val="003C549F"/>
    <w:rsid w:val="003D5A16"/>
    <w:rsid w:val="003E7DB3"/>
    <w:rsid w:val="00431175"/>
    <w:rsid w:val="004374A3"/>
    <w:rsid w:val="00493686"/>
    <w:rsid w:val="004B6E37"/>
    <w:rsid w:val="004C32BA"/>
    <w:rsid w:val="004C3BF7"/>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B0E8E"/>
    <w:rsid w:val="007B4D68"/>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BB7C98"/>
    <w:rsid w:val="00C12630"/>
    <w:rsid w:val="00C34562"/>
    <w:rsid w:val="00C3774E"/>
    <w:rsid w:val="00C57456"/>
    <w:rsid w:val="00C65387"/>
    <w:rsid w:val="00C87FAB"/>
    <w:rsid w:val="00C91FF7"/>
    <w:rsid w:val="00C92D15"/>
    <w:rsid w:val="00C94E53"/>
    <w:rsid w:val="00CE3FC3"/>
    <w:rsid w:val="00CE490E"/>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4073F84"/>
    <w:rsid w:val="0A0E3C7C"/>
    <w:rsid w:val="0A836D68"/>
    <w:rsid w:val="0B60750A"/>
    <w:rsid w:val="0C545741"/>
    <w:rsid w:val="10686488"/>
    <w:rsid w:val="10DF728A"/>
    <w:rsid w:val="1264200E"/>
    <w:rsid w:val="141C5B77"/>
    <w:rsid w:val="18D8339D"/>
    <w:rsid w:val="1A21388F"/>
    <w:rsid w:val="1A570D2F"/>
    <w:rsid w:val="1E154069"/>
    <w:rsid w:val="1EAD450D"/>
    <w:rsid w:val="28FB0B8D"/>
    <w:rsid w:val="2D2B7942"/>
    <w:rsid w:val="2D46481D"/>
    <w:rsid w:val="2E733B28"/>
    <w:rsid w:val="31852B5A"/>
    <w:rsid w:val="32D01238"/>
    <w:rsid w:val="3DFC59A8"/>
    <w:rsid w:val="3ECF245E"/>
    <w:rsid w:val="3FB96314"/>
    <w:rsid w:val="42FA230E"/>
    <w:rsid w:val="51DC435D"/>
    <w:rsid w:val="53A44FAF"/>
    <w:rsid w:val="594329EC"/>
    <w:rsid w:val="5BEE1540"/>
    <w:rsid w:val="5DE61A5D"/>
    <w:rsid w:val="63C04243"/>
    <w:rsid w:val="649C01C7"/>
    <w:rsid w:val="69845794"/>
    <w:rsid w:val="699A3F60"/>
    <w:rsid w:val="6B071F38"/>
    <w:rsid w:val="6B451EEA"/>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allout" idref="#_x0000_s2052"/>
        <o:r id="V:Rule2" type="callout" idref="#_x0000_s2059"/>
        <o:r id="V:Rule3" type="callout" idref="#_x0000_s2061"/>
        <o:r id="V:Rule4" type="callout" idref="#_x0000_s206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 w:type="paragraph" w:customStyle="1" w:styleId="33">
    <w:name w:val="样式1"/>
    <w:basedOn w:val="1"/>
    <w:qFormat/>
    <w:uiPriority w:val="0"/>
    <w:pPr>
      <w:spacing w:after="40" w:line="240" w:lineRule="auto"/>
    </w:pPr>
    <w:rPr>
      <w:rFonts w:eastAsia="Adobe 仿宋 Std R"/>
      <w:sz w:val="32"/>
    </w:rPr>
  </w:style>
  <w:style w:type="paragraph" w:customStyle="1" w:styleId="34">
    <w:name w:val="样式2"/>
    <w:basedOn w:val="1"/>
    <w:qFormat/>
    <w:uiPriority w:val="0"/>
    <w:pPr>
      <w:spacing w:line="240" w:lineRule="auto"/>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3"/>
    <customShpInfo spid="_x0000_s2054"/>
    <customShpInfo spid="_x0000_s2059"/>
    <customShpInfo spid="_x0000_s2061"/>
    <customShpInfo spid="_x0000_s2060"/>
    <customShpInfo spid="_x0000_s2062"/>
    <customShpInfo spid="_x0000_s2063"/>
    <customShpInfo spid="_x0000_s2065"/>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31</Pages>
  <Words>1657</Words>
  <Characters>9446</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2019-11-11T01:40:00Z</dcterms:created>
  <dc:creator>User</dc:creator>
  <cp:lastModifiedBy>科普</cp:lastModifiedBy>
  <cp:lastPrinted>2019-11-18T08:41:00Z</cp:lastPrinted>
  <dcterms:modified xsi:type="dcterms:W3CDTF">2019-10-22T07:44:48Z</dcterms:modified>
  <dc:subject>石家庄市xxx部门</dc:subject>
  <dc:title>2017年度部门决算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2BC26E964BAA42DAB5EFC35C63201260</vt:lpwstr>
  </property>
</Properties>
</file>